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>
      <w:pPr>
        <w:pStyle w:val="ConsPlusNormal"/>
        <w:jc w:val="both"/>
      </w:pPr>
    </w:p>
    <w:p>
      <w:pPr>
        <w:pStyle w:val="ConsPlusTitle"/>
        <w:jc w:val="center"/>
      </w:pPr>
      <w:r>
        <w:t>ПРАВИТЕЛЬСТВО САНКТ-ПЕТЕРБУРГА</w:t>
      </w:r>
    </w:p>
    <w:p>
      <w:pPr>
        <w:pStyle w:val="ConsPlusTitle"/>
        <w:jc w:val="center"/>
      </w:pPr>
    </w:p>
    <w:p>
      <w:pPr>
        <w:pStyle w:val="ConsPlusTitle"/>
        <w:jc w:val="center"/>
      </w:pPr>
      <w:r>
        <w:t>КОМИТЕТ ПО ТАРИФАМ САНКТ-ПЕТЕРБУРГА</w:t>
      </w:r>
    </w:p>
    <w:p>
      <w:pPr>
        <w:pStyle w:val="ConsPlusTitle"/>
        <w:jc w:val="center"/>
      </w:pPr>
    </w:p>
    <w:p>
      <w:pPr>
        <w:pStyle w:val="ConsPlusTitle"/>
        <w:jc w:val="center"/>
      </w:pPr>
      <w:r>
        <w:t>РАСПОРЯЖЕНИЕ</w:t>
      </w:r>
    </w:p>
    <w:p>
      <w:pPr>
        <w:pStyle w:val="ConsPlusTitle"/>
        <w:jc w:val="center"/>
      </w:pPr>
      <w:r>
        <w:t>от 27 ноября 2015 г. N 363-р</w:t>
      </w:r>
    </w:p>
    <w:p>
      <w:pPr>
        <w:pStyle w:val="ConsPlusTitle"/>
        <w:jc w:val="center"/>
      </w:pPr>
    </w:p>
    <w:p>
      <w:pPr>
        <w:pStyle w:val="ConsPlusTitle"/>
        <w:jc w:val="center"/>
      </w:pPr>
      <w:r>
        <w:t>ОБ УСТАНОВЛЕНИИ ТАРИФОВ В СФЕРЕ ТЕПЛОСНАБЖЕНИЯ</w:t>
      </w:r>
    </w:p>
    <w:p>
      <w:pPr>
        <w:pStyle w:val="ConsPlusTitle"/>
        <w:jc w:val="center"/>
      </w:pPr>
      <w:r>
        <w:t>ГОСУДАРСТВЕННОГО УНИТАРНОГО ПРЕДПРИЯТИЯ</w:t>
      </w:r>
    </w:p>
    <w:p>
      <w:pPr>
        <w:pStyle w:val="ConsPlusTitle"/>
        <w:jc w:val="center"/>
      </w:pPr>
      <w:r>
        <w:t>"ТОПЛИВНО-ЭНЕРГЕТИЧЕСКИЙ КОМПЛЕКС САНКТ-ПЕТЕРБУРГА"</w:t>
      </w:r>
    </w:p>
    <w:p>
      <w:pPr>
        <w:pStyle w:val="ConsPlusTitle"/>
        <w:jc w:val="center"/>
      </w:pPr>
      <w:r>
        <w:t>НА ТЕРРИТОРИИ САНКТ-ПЕТЕРБУРГА НА 2016-2018 ГОДЫ</w:t>
      </w:r>
    </w:p>
    <w:p>
      <w:pPr>
        <w:pStyle w:val="ConsPlusNormal"/>
        <w:jc w:val="both"/>
      </w:pPr>
    </w:p>
    <w:p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27.07.2010 N 190-ФЗ "О теплоснабжении",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22.10.2012 N 1075 "О ценообразовании в сфере теплоснабжения", </w:t>
      </w:r>
      <w:hyperlink r:id="rId7" w:history="1">
        <w:r>
          <w:rPr>
            <w:color w:val="0000FF"/>
          </w:rPr>
          <w:t>приказом</w:t>
        </w:r>
      </w:hyperlink>
      <w:r>
        <w:t xml:space="preserve"> ФСТ России от 13.06.2013 N 760-э "Об утверждении Методических указаний по расчету регулируемых цен (тарифов) в сфере теплоснабжения", </w:t>
      </w:r>
      <w:hyperlink r:id="rId8" w:history="1">
        <w:r>
          <w:rPr>
            <w:color w:val="0000FF"/>
          </w:rPr>
          <w:t>приказом</w:t>
        </w:r>
      </w:hyperlink>
      <w:r>
        <w:t xml:space="preserve"> ФСТ России от 07.06.2013 N 163 "Об утверждении Регламента открытия дел об установлении регулируемых цен (тарифов</w:t>
      </w:r>
      <w:proofErr w:type="gramEnd"/>
      <w:r>
        <w:t xml:space="preserve">) и отмене регулирования тарифов в сфере теплоснабжения",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Санкт-Петербурга от 13.09.2005 N 1346 "О Комитете по тарифам Санкт-Петербурга" и на основании протокола заседания правления Комитета по тарифам Санкт-Петербурга от 27.11.2015 N 841:</w:t>
      </w:r>
    </w:p>
    <w:p>
      <w:pPr>
        <w:pStyle w:val="ConsPlusNormal"/>
        <w:ind w:firstLine="540"/>
        <w:jc w:val="both"/>
      </w:pPr>
      <w:bookmarkStart w:id="0" w:name="P14"/>
      <w:bookmarkEnd w:id="0"/>
      <w:r>
        <w:t xml:space="preserve">1. Установить тарифы в сфере теплоснабжения государственного унитарного предприятия "Топливно-энергетический комплекс Санкт-Петербурга" на территории Санкт-Петербурга на 2016-2018 годы согласно </w:t>
      </w:r>
      <w:hyperlink w:anchor="P35" w:history="1">
        <w:r>
          <w:rPr>
            <w:color w:val="0000FF"/>
          </w:rPr>
          <w:t>приложениям 1</w:t>
        </w:r>
      </w:hyperlink>
      <w:r>
        <w:t xml:space="preserve"> - </w:t>
      </w:r>
      <w:hyperlink w:anchor="P1140" w:history="1">
        <w:r>
          <w:rPr>
            <w:color w:val="0000FF"/>
          </w:rPr>
          <w:t>6</w:t>
        </w:r>
      </w:hyperlink>
      <w:r>
        <w:t xml:space="preserve"> к настоящему распоряжению.</w:t>
      </w:r>
    </w:p>
    <w:p>
      <w:pPr>
        <w:pStyle w:val="ConsPlusNormal"/>
        <w:ind w:firstLine="540"/>
        <w:jc w:val="both"/>
      </w:pPr>
      <w:r>
        <w:t xml:space="preserve">2. Установить долгосрочные </w:t>
      </w:r>
      <w:hyperlink w:anchor="P1252" w:history="1">
        <w:r>
          <w:rPr>
            <w:color w:val="0000FF"/>
          </w:rPr>
          <w:t>параметры</w:t>
        </w:r>
      </w:hyperlink>
      <w:r>
        <w:t xml:space="preserve"> регулирования тарифов в сфере теплоснабжения государственного унитарного предприятия "Топливно-энергетический комплекс Санкт-Петербурга" на территории Санкт-Петербурга на 2016-2018 годы согласно приложению 7 к настоящему распоряжению.</w:t>
      </w:r>
    </w:p>
    <w:p>
      <w:pPr>
        <w:pStyle w:val="ConsPlusNormal"/>
        <w:ind w:firstLine="540"/>
        <w:jc w:val="both"/>
      </w:pPr>
      <w:r>
        <w:t xml:space="preserve">3. Тарифы, установленные в </w:t>
      </w:r>
      <w:hyperlink w:anchor="P14" w:history="1">
        <w:r>
          <w:rPr>
            <w:color w:val="0000FF"/>
          </w:rPr>
          <w:t>пункте 1</w:t>
        </w:r>
      </w:hyperlink>
      <w:r>
        <w:t xml:space="preserve"> настоящего распоряжения, действуют с 01.01.2016 по 31.12.2018 с календарной разбивкой.</w:t>
      </w:r>
    </w:p>
    <w:p>
      <w:pPr>
        <w:pStyle w:val="ConsPlusNormal"/>
        <w:ind w:firstLine="540"/>
        <w:jc w:val="both"/>
      </w:pPr>
      <w:r>
        <w:t xml:space="preserve">4. Признать утратившим силу с 01.01.2016 </w:t>
      </w:r>
      <w:hyperlink r:id="rId10" w:history="1">
        <w:r>
          <w:rPr>
            <w:color w:val="0000FF"/>
          </w:rPr>
          <w:t>распоряжение</w:t>
        </w:r>
      </w:hyperlink>
      <w:r>
        <w:t xml:space="preserve"> Комитета по тарифам Санкт-Петербурга от 18.12.2014 N 569-р "Об установлении тарифов в сфере теплоснабжения государственного унитарного предприятия "Топливно-энергетический комплекс Санкт-Петербурга" на территории Санкт-Петербурга на 2015 год".</w:t>
      </w:r>
    </w:p>
    <w:p>
      <w:pPr>
        <w:pStyle w:val="ConsPlusNormal"/>
        <w:ind w:firstLine="540"/>
        <w:jc w:val="both"/>
      </w:pPr>
      <w:r>
        <w:t>5. Распоряжение вступает в силу с 01.01.2016, но не ранее дня его официального опубликования.</w:t>
      </w:r>
    </w:p>
    <w:p>
      <w:pPr>
        <w:pStyle w:val="ConsPlusNormal"/>
        <w:jc w:val="both"/>
      </w:pPr>
    </w:p>
    <w:p>
      <w:pPr>
        <w:pStyle w:val="ConsPlusNormal"/>
        <w:jc w:val="right"/>
      </w:pPr>
      <w:r>
        <w:t>Председатель</w:t>
      </w:r>
    </w:p>
    <w:p>
      <w:pPr>
        <w:pStyle w:val="ConsPlusNormal"/>
        <w:jc w:val="right"/>
      </w:pPr>
      <w:r>
        <w:t>Комитета по тарифам</w:t>
      </w:r>
    </w:p>
    <w:p>
      <w:pPr>
        <w:pStyle w:val="ConsPlusNormal"/>
        <w:jc w:val="right"/>
      </w:pPr>
      <w:r>
        <w:t>Санкт-Петербурга</w:t>
      </w:r>
    </w:p>
    <w:p>
      <w:pPr>
        <w:pStyle w:val="ConsPlusNormal"/>
        <w:jc w:val="right"/>
      </w:pPr>
      <w:r>
        <w:t>Д.В.Коптин</w:t>
      </w:r>
    </w:p>
    <w:p>
      <w:pPr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right"/>
      </w:pPr>
      <w:r>
        <w:t>ПРИЛОЖЕНИЕ 1</w:t>
      </w:r>
    </w:p>
    <w:p>
      <w:pPr>
        <w:pStyle w:val="ConsPlusNormal"/>
        <w:jc w:val="right"/>
      </w:pPr>
      <w:r>
        <w:t>к распоряжению</w:t>
      </w:r>
    </w:p>
    <w:p>
      <w:pPr>
        <w:pStyle w:val="ConsPlusNormal"/>
        <w:jc w:val="right"/>
      </w:pPr>
      <w:r>
        <w:t>Комитета по тарифам</w:t>
      </w:r>
    </w:p>
    <w:p>
      <w:pPr>
        <w:pStyle w:val="ConsPlusNormal"/>
        <w:jc w:val="right"/>
      </w:pPr>
      <w:r>
        <w:t>Санкт-Петербурга</w:t>
      </w:r>
    </w:p>
    <w:p>
      <w:pPr>
        <w:pStyle w:val="ConsPlusNormal"/>
        <w:jc w:val="right"/>
      </w:pPr>
      <w:r>
        <w:t>от 27.11.2015 N 363-р</w:t>
      </w:r>
    </w:p>
    <w:p>
      <w:pPr>
        <w:pStyle w:val="ConsPlusNormal"/>
        <w:jc w:val="both"/>
      </w:pPr>
    </w:p>
    <w:p>
      <w:pPr>
        <w:pStyle w:val="ConsPlusTitle"/>
        <w:jc w:val="center"/>
      </w:pPr>
      <w:bookmarkStart w:id="1" w:name="P35"/>
      <w:bookmarkEnd w:id="1"/>
      <w:r>
        <w:t>ТАРИФЫ</w:t>
      </w:r>
    </w:p>
    <w:p>
      <w:pPr>
        <w:pStyle w:val="ConsPlusTitle"/>
        <w:jc w:val="center"/>
      </w:pPr>
      <w:r>
        <w:t xml:space="preserve">НА ТЕПЛОВУЮ ЭНЕРГИЮ, ПОСТАВЛЯЕМУЮ </w:t>
      </w:r>
      <w:proofErr w:type="gramStart"/>
      <w:r>
        <w:t>ГОСУДАРСТВЕННЫМ</w:t>
      </w:r>
      <w:proofErr w:type="gramEnd"/>
    </w:p>
    <w:p>
      <w:pPr>
        <w:pStyle w:val="ConsPlusTitle"/>
        <w:jc w:val="center"/>
      </w:pPr>
      <w:r>
        <w:t>УНИТАРНЫМ ПРЕДПРИЯТИЕМ "ТОПЛИВНО-ЭНЕРГЕТИЧЕСКИЙ КОМПЛЕКС</w:t>
      </w:r>
    </w:p>
    <w:p>
      <w:pPr>
        <w:pStyle w:val="ConsPlusTitle"/>
        <w:jc w:val="center"/>
      </w:pPr>
      <w:r>
        <w:t>САНКТ-ПЕТЕРБУРГА" ПОТРЕБИТЕЛЯМ, РАСПОЛОЖЕННЫМ</w:t>
      </w:r>
    </w:p>
    <w:p>
      <w:pPr>
        <w:pStyle w:val="ConsPlusTitle"/>
        <w:jc w:val="center"/>
      </w:pPr>
      <w:r>
        <w:t>НА ТЕРРИТОРИИ САНКТ-ПЕТЕРБУРГА, НА 2016-2018 ГОДЫ</w:t>
      </w:r>
    </w:p>
    <w:p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984"/>
        <w:gridCol w:w="1417"/>
        <w:gridCol w:w="1077"/>
        <w:gridCol w:w="907"/>
        <w:gridCol w:w="907"/>
        <w:gridCol w:w="907"/>
        <w:gridCol w:w="907"/>
        <w:gridCol w:w="1134"/>
      </w:tblGrid>
      <w:tr>
        <w:tc>
          <w:tcPr>
            <w:tcW w:w="567" w:type="dxa"/>
            <w:vMerge w:val="restart"/>
          </w:tcPr>
          <w:p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84" w:type="dxa"/>
            <w:vMerge w:val="restart"/>
          </w:tcPr>
          <w:p>
            <w:pPr>
              <w:pStyle w:val="ConsPlusNormal"/>
              <w:jc w:val="center"/>
            </w:pPr>
            <w:r>
              <w:t>Вид тарифа</w:t>
            </w:r>
          </w:p>
        </w:tc>
        <w:tc>
          <w:tcPr>
            <w:tcW w:w="1417" w:type="dxa"/>
            <w:vMerge w:val="restart"/>
          </w:tcPr>
          <w:p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077" w:type="dxa"/>
            <w:vMerge w:val="restart"/>
          </w:tcPr>
          <w:p>
            <w:pPr>
              <w:pStyle w:val="ConsPlusNormal"/>
              <w:jc w:val="center"/>
            </w:pPr>
            <w:r>
              <w:t>Вода</w:t>
            </w:r>
          </w:p>
        </w:tc>
        <w:tc>
          <w:tcPr>
            <w:tcW w:w="3628" w:type="dxa"/>
            <w:gridSpan w:val="4"/>
          </w:tcPr>
          <w:p>
            <w:pPr>
              <w:pStyle w:val="ConsPlusNormal"/>
              <w:jc w:val="center"/>
            </w:pPr>
            <w:r>
              <w:t>Отборный пар давлением</w:t>
            </w:r>
          </w:p>
        </w:tc>
        <w:tc>
          <w:tcPr>
            <w:tcW w:w="1134" w:type="dxa"/>
            <w:vMerge w:val="restart"/>
          </w:tcPr>
          <w:p>
            <w:pPr>
              <w:pStyle w:val="ConsPlusNormal"/>
              <w:jc w:val="center"/>
            </w:pPr>
            <w:r>
              <w:t>Острый и редуцированный пар</w:t>
            </w:r>
          </w:p>
        </w:tc>
      </w:tr>
      <w:tr>
        <w:tc>
          <w:tcPr>
            <w:tcW w:w="567" w:type="dxa"/>
            <w:vMerge/>
          </w:tcPr>
          <w:p/>
        </w:tc>
        <w:tc>
          <w:tcPr>
            <w:tcW w:w="1984" w:type="dxa"/>
            <w:vMerge/>
          </w:tcPr>
          <w:p/>
        </w:tc>
        <w:tc>
          <w:tcPr>
            <w:tcW w:w="1417" w:type="dxa"/>
            <w:vMerge/>
          </w:tcPr>
          <w:p/>
        </w:tc>
        <w:tc>
          <w:tcPr>
            <w:tcW w:w="1077" w:type="dxa"/>
            <w:vMerge/>
          </w:tcPr>
          <w:p/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от 1,2 до 2,5 кг/см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от 2,5 до 7,0 кг/см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от 7,0 до 13,0 кг/см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свыше 13,0 кг/см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Merge/>
          </w:tcPr>
          <w:p/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</w:tcPr>
          <w:p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9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9240" w:type="dxa"/>
            <w:gridSpan w:val="8"/>
          </w:tcPr>
          <w:p>
            <w:pPr>
              <w:pStyle w:val="ConsPlusNormal"/>
              <w:jc w:val="center"/>
            </w:pPr>
            <w:r>
              <w:t>Для потребителей в случае отсутствия дифференциации тарифов по схеме подключения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984" w:type="dxa"/>
            <w:vMerge w:val="restart"/>
          </w:tcPr>
          <w:p>
            <w:pPr>
              <w:pStyle w:val="ConsPlusNormal"/>
              <w:jc w:val="center"/>
            </w:pPr>
            <w:r>
              <w:t>одноставочный, руб./Гкал</w:t>
            </w:r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1664,61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1664,61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1909,59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1909,59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2017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1842,14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1842,14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lastRenderedPageBreak/>
              <w:t>1.4.</w:t>
            </w: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1842,14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1842,14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1842,14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1842,14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2018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2005,82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2005,82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</w:tcPr>
          <w:p>
            <w:pPr>
              <w:pStyle w:val="ConsPlusNormal"/>
              <w:jc w:val="center"/>
            </w:pPr>
            <w:r>
              <w:t>двухставочный</w:t>
            </w:r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 w:val="restart"/>
          </w:tcPr>
          <w:p>
            <w:pPr>
              <w:pStyle w:val="ConsPlusNormal"/>
              <w:jc w:val="center"/>
            </w:pPr>
            <w:r>
              <w:t>ставка за тепловую энергию, руб./Гкал</w:t>
            </w:r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2017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2018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 w:val="restart"/>
          </w:tcPr>
          <w:p>
            <w:pPr>
              <w:pStyle w:val="ConsPlusNormal"/>
              <w:jc w:val="center"/>
            </w:pPr>
            <w:r>
              <w:t>ставка за содержание тепловой мощности, тыс. руб./Гкал/</w:t>
            </w:r>
            <w:proofErr w:type="gramStart"/>
            <w:r>
              <w:t>ч</w:t>
            </w:r>
            <w:proofErr w:type="gramEnd"/>
            <w:r>
              <w:t xml:space="preserve"> в мес.</w:t>
            </w:r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 xml:space="preserve">1 полугодие </w:t>
            </w:r>
            <w:r>
              <w:lastRenderedPageBreak/>
              <w:t>2017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2018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9240" w:type="dxa"/>
            <w:gridSpan w:val="8"/>
          </w:tcPr>
          <w:p>
            <w:pPr>
              <w:pStyle w:val="ConsPlusNormal"/>
              <w:jc w:val="center"/>
            </w:pPr>
            <w:r>
              <w:t xml:space="preserve">Население (тарифы указаны с учетом НДС) </w:t>
            </w:r>
            <w:hyperlink w:anchor="P379" w:history="1">
              <w:r>
                <w:rPr>
                  <w:color w:val="0000FF"/>
                </w:rPr>
                <w:t>&lt;1&gt;</w:t>
              </w:r>
            </w:hyperlink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984" w:type="dxa"/>
            <w:vMerge w:val="restart"/>
          </w:tcPr>
          <w:p>
            <w:pPr>
              <w:pStyle w:val="ConsPlusNormal"/>
              <w:jc w:val="center"/>
            </w:pPr>
            <w:r>
              <w:t xml:space="preserve">одноставочный, руб./Гкал </w:t>
            </w:r>
            <w:hyperlink w:anchor="P37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2077,92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2392,44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2017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2285,04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2326,75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2326,75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2018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2535,21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</w:tcPr>
          <w:p>
            <w:pPr>
              <w:pStyle w:val="ConsPlusNormal"/>
              <w:jc w:val="center"/>
            </w:pPr>
            <w:r>
              <w:t>двухставочный</w:t>
            </w:r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 w:val="restart"/>
          </w:tcPr>
          <w:p>
            <w:pPr>
              <w:pStyle w:val="ConsPlusNormal"/>
              <w:jc w:val="center"/>
            </w:pPr>
            <w:r>
              <w:t>ставка за тепловую энергию, руб./Гкал</w:t>
            </w:r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2017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2018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 w:val="restart"/>
          </w:tcPr>
          <w:p>
            <w:pPr>
              <w:pStyle w:val="ConsPlusNormal"/>
              <w:jc w:val="center"/>
            </w:pPr>
            <w:r>
              <w:t>ставка за содержание тепловой мощности, тыс. руб./Гкал/</w:t>
            </w:r>
            <w:proofErr w:type="gramStart"/>
            <w:r>
              <w:t>ч</w:t>
            </w:r>
            <w:proofErr w:type="gramEnd"/>
            <w:r>
              <w:t xml:space="preserve"> в мес.</w:t>
            </w:r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2017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2018 года</w:t>
            </w:r>
          </w:p>
        </w:tc>
        <w:tc>
          <w:tcPr>
            <w:tcW w:w="107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</w:tbl>
    <w:p>
      <w:pPr>
        <w:pStyle w:val="ConsPlusNormal"/>
        <w:jc w:val="both"/>
      </w:pPr>
    </w:p>
    <w:p>
      <w:pPr>
        <w:pStyle w:val="ConsPlusNormal"/>
        <w:ind w:firstLine="540"/>
        <w:jc w:val="both"/>
      </w:pPr>
      <w:r>
        <w:t>Примечания:</w:t>
      </w:r>
    </w:p>
    <w:p>
      <w:pPr>
        <w:pStyle w:val="ConsPlusNormal"/>
        <w:ind w:firstLine="540"/>
        <w:jc w:val="both"/>
      </w:pPr>
      <w:bookmarkStart w:id="2" w:name="P378"/>
      <w:bookmarkEnd w:id="2"/>
      <w:r>
        <w:t>&lt;*&gt; Тарифы с учетом стоимости теплоносителя.</w:t>
      </w:r>
    </w:p>
    <w:p>
      <w:pPr>
        <w:pStyle w:val="ConsPlusNormal"/>
        <w:ind w:firstLine="540"/>
        <w:jc w:val="both"/>
      </w:pPr>
      <w:bookmarkStart w:id="3" w:name="P379"/>
      <w:bookmarkEnd w:id="3"/>
      <w:r>
        <w:t xml:space="preserve">1. Выделяется в целях реализации </w:t>
      </w:r>
      <w:hyperlink r:id="rId11" w:history="1">
        <w:r>
          <w:rPr>
            <w:color w:val="0000FF"/>
          </w:rPr>
          <w:t>пункта 6 статьи 168</w:t>
        </w:r>
      </w:hyperlink>
      <w:r>
        <w:t xml:space="preserve"> Налогового кодекса Российской Федерации (часть вторая).</w:t>
      </w:r>
    </w:p>
    <w:p>
      <w:pPr>
        <w:pStyle w:val="ConsPlusNormal"/>
        <w:ind w:firstLine="540"/>
        <w:jc w:val="both"/>
      </w:pPr>
      <w:r>
        <w:lastRenderedPageBreak/>
        <w:t>2. В тарифы (за исключением тарифов для населения) не включен НДС.</w:t>
      </w:r>
    </w:p>
    <w:p>
      <w:pPr>
        <w:pStyle w:val="ConsPlusNormal"/>
        <w:ind w:firstLine="540"/>
        <w:jc w:val="both"/>
      </w:pPr>
      <w:r>
        <w:t>3. 1 полугодие: с 1 января по 30 июня; 2 полугодие: с 1 июля по 31 декабря.</w:t>
      </w: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right"/>
      </w:pPr>
      <w:r>
        <w:t>ПРИЛОЖЕНИЕ 2</w:t>
      </w:r>
    </w:p>
    <w:p>
      <w:pPr>
        <w:pStyle w:val="ConsPlusNormal"/>
        <w:jc w:val="right"/>
      </w:pPr>
      <w:r>
        <w:t>к распоряжению</w:t>
      </w:r>
    </w:p>
    <w:p>
      <w:pPr>
        <w:pStyle w:val="ConsPlusNormal"/>
        <w:jc w:val="right"/>
      </w:pPr>
      <w:r>
        <w:t>Комитета по тарифам</w:t>
      </w:r>
    </w:p>
    <w:p>
      <w:pPr>
        <w:pStyle w:val="ConsPlusNormal"/>
        <w:jc w:val="right"/>
      </w:pPr>
      <w:r>
        <w:t>Санкт-Петербурга</w:t>
      </w:r>
    </w:p>
    <w:p>
      <w:pPr>
        <w:pStyle w:val="ConsPlusNormal"/>
        <w:jc w:val="right"/>
      </w:pPr>
      <w:r>
        <w:t>от 27.11.2015 N 363-р</w:t>
      </w:r>
    </w:p>
    <w:p>
      <w:pPr>
        <w:pStyle w:val="ConsPlusNormal"/>
        <w:jc w:val="both"/>
      </w:pPr>
    </w:p>
    <w:p>
      <w:pPr>
        <w:pStyle w:val="ConsPlusTitle"/>
        <w:jc w:val="center"/>
      </w:pPr>
      <w:r>
        <w:t>ТАРИФЫ</w:t>
      </w:r>
    </w:p>
    <w:p>
      <w:pPr>
        <w:pStyle w:val="ConsPlusTitle"/>
        <w:jc w:val="center"/>
      </w:pPr>
      <w:r>
        <w:t xml:space="preserve">НА ТЕПЛОВУЮ ЭНЕРГИЮ, ПОСТАВЛЯЕМУЮ </w:t>
      </w:r>
      <w:proofErr w:type="gramStart"/>
      <w:r>
        <w:t>ГОСУДАРСТВЕННЫМ</w:t>
      </w:r>
      <w:proofErr w:type="gramEnd"/>
      <w:r>
        <w:t xml:space="preserve"> УНИТАРНЫМ</w:t>
      </w:r>
    </w:p>
    <w:p>
      <w:pPr>
        <w:pStyle w:val="ConsPlusTitle"/>
        <w:jc w:val="center"/>
      </w:pPr>
      <w:r>
        <w:t>ПРЕДПРИЯТИЕМ "ТОПЛИВНО-ЭНЕРГЕТИЧЕСКИЙ КОМПЛЕКС</w:t>
      </w:r>
    </w:p>
    <w:p>
      <w:pPr>
        <w:pStyle w:val="ConsPlusTitle"/>
        <w:jc w:val="center"/>
      </w:pPr>
      <w:r>
        <w:t>САНКТ-ПЕТЕРБУРГА" НА КОЛЛЕКТОРАХ ИСТОЧНИКОВ ТЕПЛОВОЙ ЭНЕРГИИ</w:t>
      </w:r>
    </w:p>
    <w:p>
      <w:pPr>
        <w:pStyle w:val="ConsPlusTitle"/>
        <w:jc w:val="center"/>
      </w:pPr>
      <w:r>
        <w:t>ПОТРЕБИТЕЛЯМ, РАСПОЛОЖЕННЫМ НА ТЕРРИТОРИИ САНКТ-ПЕТЕРБУРГА,</w:t>
      </w:r>
    </w:p>
    <w:p>
      <w:pPr>
        <w:pStyle w:val="ConsPlusTitle"/>
        <w:jc w:val="center"/>
      </w:pPr>
      <w:r>
        <w:t>НА 2016-2018 ГОДЫ</w:t>
      </w:r>
    </w:p>
    <w:p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984"/>
        <w:gridCol w:w="1417"/>
        <w:gridCol w:w="1191"/>
        <w:gridCol w:w="907"/>
        <w:gridCol w:w="907"/>
        <w:gridCol w:w="907"/>
        <w:gridCol w:w="907"/>
        <w:gridCol w:w="1020"/>
      </w:tblGrid>
      <w:tr>
        <w:tc>
          <w:tcPr>
            <w:tcW w:w="567" w:type="dxa"/>
            <w:vMerge w:val="restart"/>
          </w:tcPr>
          <w:p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84" w:type="dxa"/>
            <w:vMerge w:val="restart"/>
          </w:tcPr>
          <w:p>
            <w:pPr>
              <w:pStyle w:val="ConsPlusNormal"/>
              <w:jc w:val="center"/>
            </w:pPr>
            <w:r>
              <w:t>Вид тарифа</w:t>
            </w:r>
          </w:p>
        </w:tc>
        <w:tc>
          <w:tcPr>
            <w:tcW w:w="1417" w:type="dxa"/>
            <w:vMerge w:val="restart"/>
          </w:tcPr>
          <w:p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191" w:type="dxa"/>
            <w:vMerge w:val="restart"/>
          </w:tcPr>
          <w:p>
            <w:pPr>
              <w:pStyle w:val="ConsPlusNormal"/>
              <w:jc w:val="center"/>
            </w:pPr>
            <w:r>
              <w:t>Вода</w:t>
            </w:r>
          </w:p>
        </w:tc>
        <w:tc>
          <w:tcPr>
            <w:tcW w:w="3628" w:type="dxa"/>
            <w:gridSpan w:val="4"/>
          </w:tcPr>
          <w:p>
            <w:pPr>
              <w:pStyle w:val="ConsPlusNormal"/>
              <w:jc w:val="center"/>
            </w:pPr>
            <w:r>
              <w:t>Отборный пар давлением</w:t>
            </w:r>
          </w:p>
        </w:tc>
        <w:tc>
          <w:tcPr>
            <w:tcW w:w="1020" w:type="dxa"/>
            <w:vMerge w:val="restart"/>
          </w:tcPr>
          <w:p>
            <w:pPr>
              <w:pStyle w:val="ConsPlusNormal"/>
              <w:jc w:val="center"/>
            </w:pPr>
            <w:r>
              <w:t>Острый и редуцированный пар</w:t>
            </w:r>
          </w:p>
        </w:tc>
      </w:tr>
      <w:tr>
        <w:tc>
          <w:tcPr>
            <w:tcW w:w="567" w:type="dxa"/>
            <w:vMerge/>
          </w:tcPr>
          <w:p/>
        </w:tc>
        <w:tc>
          <w:tcPr>
            <w:tcW w:w="1984" w:type="dxa"/>
            <w:vMerge/>
          </w:tcPr>
          <w:p/>
        </w:tc>
        <w:tc>
          <w:tcPr>
            <w:tcW w:w="1417" w:type="dxa"/>
            <w:vMerge/>
          </w:tcPr>
          <w:p/>
        </w:tc>
        <w:tc>
          <w:tcPr>
            <w:tcW w:w="1191" w:type="dxa"/>
            <w:vMerge/>
          </w:tcPr>
          <w:p/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от 1,2 до 2,5 кг/см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от 2,5 до 7,0 кг/см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от 7,0 до 13,0 кг/см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свыше 13,0 кг/см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020" w:type="dxa"/>
            <w:vMerge/>
          </w:tcPr>
          <w:p/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</w:tcPr>
          <w:p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9</w:t>
            </w:r>
          </w:p>
        </w:tc>
      </w:tr>
      <w:tr>
        <w:tblPrEx>
          <w:tblBorders>
            <w:insideH w:val="nil"/>
          </w:tblBorders>
        </w:tblPrEx>
        <w:tc>
          <w:tcPr>
            <w:tcW w:w="9807" w:type="dxa"/>
            <w:gridSpan w:val="9"/>
            <w:tcBorders>
              <w:bottom w:val="nil"/>
            </w:tcBorders>
          </w:tcPr>
          <w:p>
            <w:pPr>
              <w:pStyle w:val="ConsPlusNormal"/>
              <w:pBdr>
                <w:top w:val="single" w:sz="6" w:space="0" w:color="auto"/>
              </w:pBdr>
              <w:spacing w:before="100" w:after="100"/>
              <w:jc w:val="both"/>
              <w:rPr>
                <w:sz w:val="2"/>
                <w:szCs w:val="2"/>
              </w:rPr>
            </w:pPr>
          </w:p>
          <w:p>
            <w:pPr>
              <w:pStyle w:val="ConsPlusNormal"/>
              <w:ind w:firstLine="540"/>
              <w:jc w:val="both"/>
            </w:pPr>
            <w:r>
              <w:rPr>
                <w:color w:val="0A2666"/>
              </w:rPr>
              <w:t>КонсультантПлюс: примечание.</w:t>
            </w:r>
          </w:p>
          <w:p>
            <w:pPr>
              <w:pStyle w:val="ConsPlusNormal"/>
              <w:ind w:firstLine="540"/>
              <w:jc w:val="both"/>
            </w:pPr>
            <w:r>
              <w:rPr>
                <w:color w:val="0A2666"/>
              </w:rPr>
              <w:t>Нумерация пунктов дана в соответствии с официальным текстом документа.</w:t>
            </w:r>
          </w:p>
          <w:p>
            <w:pPr>
              <w:pStyle w:val="ConsPlusNormal"/>
              <w:pBdr>
                <w:top w:val="single" w:sz="6" w:space="0" w:color="auto"/>
              </w:pBdr>
              <w:spacing w:before="100" w:after="100"/>
              <w:jc w:val="both"/>
              <w:rPr>
                <w:sz w:val="2"/>
                <w:szCs w:val="2"/>
              </w:rPr>
            </w:pPr>
          </w:p>
        </w:tc>
      </w:tr>
      <w:tr>
        <w:tblPrEx>
          <w:tblBorders>
            <w:insideH w:val="nil"/>
          </w:tblBorders>
        </w:tblPrEx>
        <w:tc>
          <w:tcPr>
            <w:tcW w:w="567" w:type="dxa"/>
            <w:tcBorders>
              <w:top w:val="nil"/>
            </w:tcBorders>
          </w:tcPr>
          <w:p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984" w:type="dxa"/>
            <w:vMerge w:val="restart"/>
            <w:tcBorders>
              <w:top w:val="nil"/>
            </w:tcBorders>
          </w:tcPr>
          <w:p>
            <w:pPr>
              <w:pStyle w:val="ConsPlusNormal"/>
              <w:jc w:val="center"/>
            </w:pPr>
            <w:r>
              <w:t>одноставочный, руб./Гкал</w:t>
            </w:r>
          </w:p>
        </w:tc>
        <w:tc>
          <w:tcPr>
            <w:tcW w:w="1417" w:type="dxa"/>
            <w:tcBorders>
              <w:top w:val="nil"/>
            </w:tcBorders>
          </w:tcPr>
          <w:p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1191" w:type="dxa"/>
            <w:tcBorders>
              <w:top w:val="nil"/>
            </w:tcBorders>
          </w:tcPr>
          <w:p>
            <w:pPr>
              <w:pStyle w:val="ConsPlusNormal"/>
              <w:jc w:val="center"/>
            </w:pPr>
            <w:r>
              <w:t>1201,33</w:t>
            </w:r>
          </w:p>
        </w:tc>
        <w:tc>
          <w:tcPr>
            <w:tcW w:w="907" w:type="dxa"/>
            <w:tcBorders>
              <w:top w:val="nil"/>
            </w:tcBorders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nil"/>
            </w:tcBorders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nil"/>
            </w:tcBorders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nil"/>
            </w:tcBorders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lastRenderedPageBreak/>
              <w:t>1.2.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1278,20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2017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1278,20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1312,96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1312,96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2018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1418,77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</w:tcPr>
          <w:p>
            <w:pPr>
              <w:pStyle w:val="ConsPlusNormal"/>
              <w:jc w:val="center"/>
            </w:pPr>
            <w:r>
              <w:t>двухставочный</w:t>
            </w:r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 w:val="restart"/>
          </w:tcPr>
          <w:p>
            <w:pPr>
              <w:pStyle w:val="ConsPlusNormal"/>
              <w:jc w:val="center"/>
            </w:pPr>
            <w:r>
              <w:t>ставка за тепловую энергию, руб./Гкал</w:t>
            </w:r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2017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2018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 w:val="restart"/>
          </w:tcPr>
          <w:p>
            <w:pPr>
              <w:pStyle w:val="ConsPlusNormal"/>
              <w:jc w:val="center"/>
            </w:pPr>
            <w:r>
              <w:t xml:space="preserve">ставка за </w:t>
            </w:r>
            <w:r>
              <w:lastRenderedPageBreak/>
              <w:t>содержание тепловой мощности, тыс. руб./Гкал/</w:t>
            </w:r>
            <w:proofErr w:type="gramStart"/>
            <w:r>
              <w:t>ч</w:t>
            </w:r>
            <w:proofErr w:type="gramEnd"/>
            <w:r>
              <w:t xml:space="preserve"> в мес.</w:t>
            </w:r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lastRenderedPageBreak/>
              <w:t xml:space="preserve">1 полугодие </w:t>
            </w:r>
            <w:r>
              <w:lastRenderedPageBreak/>
              <w:t>2016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2017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2018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9240" w:type="dxa"/>
            <w:gridSpan w:val="8"/>
          </w:tcPr>
          <w:p>
            <w:pPr>
              <w:pStyle w:val="ConsPlusNormal"/>
              <w:jc w:val="center"/>
            </w:pPr>
            <w:r>
              <w:t>Население (тарифы указаны с учетом НДС)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984" w:type="dxa"/>
            <w:vMerge w:val="restart"/>
          </w:tcPr>
          <w:p>
            <w:pPr>
              <w:pStyle w:val="ConsPlusNormal"/>
              <w:jc w:val="center"/>
            </w:pPr>
            <w:r>
              <w:t>одноставочный, руб./Гкал</w:t>
            </w:r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2017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2018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</w:tcPr>
          <w:p>
            <w:pPr>
              <w:pStyle w:val="ConsPlusNormal"/>
              <w:jc w:val="center"/>
            </w:pPr>
            <w:r>
              <w:t>двухставочный</w:t>
            </w:r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 w:val="restart"/>
          </w:tcPr>
          <w:p>
            <w:pPr>
              <w:pStyle w:val="ConsPlusNormal"/>
              <w:jc w:val="center"/>
            </w:pPr>
            <w:r>
              <w:t>ставка за тепловую энергию, руб./Гкал</w:t>
            </w:r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2017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2018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 w:val="restart"/>
          </w:tcPr>
          <w:p>
            <w:pPr>
              <w:pStyle w:val="ConsPlusNormal"/>
              <w:jc w:val="center"/>
            </w:pPr>
            <w:r>
              <w:t>ставка за содержание тепловой мощности, тыс. руб./Гкал/</w:t>
            </w:r>
            <w:proofErr w:type="gramStart"/>
            <w:r>
              <w:t>ч</w:t>
            </w:r>
            <w:proofErr w:type="gramEnd"/>
            <w:r>
              <w:t xml:space="preserve"> в мес.</w:t>
            </w:r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2017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67" w:type="dxa"/>
          </w:tcPr>
          <w:p>
            <w:pPr>
              <w:pStyle w:val="ConsPlusNormal"/>
            </w:pPr>
          </w:p>
        </w:tc>
        <w:tc>
          <w:tcPr>
            <w:tcW w:w="198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 xml:space="preserve">2 полугодие </w:t>
            </w:r>
            <w:r>
              <w:lastRenderedPageBreak/>
              <w:t>2018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</w:tbl>
    <w:p>
      <w:pPr>
        <w:pStyle w:val="ConsPlusNormal"/>
        <w:jc w:val="both"/>
      </w:pPr>
    </w:p>
    <w:p>
      <w:pPr>
        <w:pStyle w:val="ConsPlusNormal"/>
        <w:ind w:firstLine="540"/>
        <w:jc w:val="both"/>
      </w:pPr>
      <w:r>
        <w:t>Примечания:</w:t>
      </w:r>
    </w:p>
    <w:p>
      <w:pPr>
        <w:pStyle w:val="ConsPlusNormal"/>
        <w:ind w:firstLine="540"/>
        <w:jc w:val="both"/>
      </w:pPr>
      <w:r>
        <w:t>1. В тарифы не включен НДС.</w:t>
      </w:r>
    </w:p>
    <w:p>
      <w:pPr>
        <w:pStyle w:val="ConsPlusNormal"/>
        <w:ind w:firstLine="540"/>
        <w:jc w:val="both"/>
      </w:pPr>
      <w:r>
        <w:t>2. 1 полугодие: с 1 января по 30 июня; 2 полугодие: с 1 июля по 31 декабря.</w:t>
      </w:r>
    </w:p>
    <w:p>
      <w:pPr>
        <w:pStyle w:val="ConsPlusNormal"/>
        <w:ind w:firstLine="540"/>
        <w:jc w:val="both"/>
      </w:pPr>
      <w:r>
        <w:t>3. Величина расходов на топливо, отнесенных на 1 Гкал тепловой энергии, отпускаемой в виде воды от источника тепловой энергии государственного унитарного предприятия "Топливно-энергетический комплекс Санкт-Петербурга", составляет в 2016 году - 723,21 руб./Гкал, в 2017 году - 742,23 руб./Гкал, в 2018 году - 764,71 руб./Гкал.</w:t>
      </w: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right"/>
      </w:pPr>
      <w:r>
        <w:t>ПРИЛОЖЕНИЕ 3</w:t>
      </w:r>
    </w:p>
    <w:p>
      <w:pPr>
        <w:pStyle w:val="ConsPlusNormal"/>
        <w:jc w:val="right"/>
      </w:pPr>
      <w:r>
        <w:t>к распоряжению</w:t>
      </w:r>
    </w:p>
    <w:p>
      <w:pPr>
        <w:pStyle w:val="ConsPlusNormal"/>
        <w:jc w:val="right"/>
      </w:pPr>
      <w:r>
        <w:t>Комитета по тарифам</w:t>
      </w:r>
    </w:p>
    <w:p>
      <w:pPr>
        <w:pStyle w:val="ConsPlusNormal"/>
        <w:jc w:val="right"/>
      </w:pPr>
      <w:r>
        <w:t>Санкт-Петербурга</w:t>
      </w:r>
    </w:p>
    <w:p>
      <w:pPr>
        <w:pStyle w:val="ConsPlusNormal"/>
        <w:jc w:val="right"/>
      </w:pPr>
      <w:r>
        <w:t>от 27.11.2015 N 363-р</w:t>
      </w:r>
    </w:p>
    <w:p>
      <w:pPr>
        <w:pStyle w:val="ConsPlusNormal"/>
        <w:jc w:val="both"/>
      </w:pPr>
    </w:p>
    <w:p>
      <w:pPr>
        <w:pStyle w:val="ConsPlusTitle"/>
        <w:jc w:val="center"/>
      </w:pPr>
      <w:r>
        <w:t>ТАРИФЫ</w:t>
      </w:r>
    </w:p>
    <w:p>
      <w:pPr>
        <w:pStyle w:val="ConsPlusTitle"/>
        <w:jc w:val="center"/>
      </w:pPr>
      <w:r>
        <w:t xml:space="preserve">НА ТЕПЛОВУЮ ЭНЕРГИЮ, ПОСТАВЛЯЕМУЮ </w:t>
      </w:r>
      <w:proofErr w:type="gramStart"/>
      <w:r>
        <w:t>ГОСУДАРСТВЕННЫМ</w:t>
      </w:r>
      <w:proofErr w:type="gramEnd"/>
      <w:r>
        <w:t xml:space="preserve"> УНИТАРНЫМ</w:t>
      </w:r>
    </w:p>
    <w:p>
      <w:pPr>
        <w:pStyle w:val="ConsPlusTitle"/>
        <w:jc w:val="center"/>
      </w:pPr>
      <w:r>
        <w:t>ПРЕДПРИЯТИЕМ "ТОПЛИВНО-ЭНЕРГЕТИЧЕСКИЙ КОМПЛЕКС</w:t>
      </w:r>
    </w:p>
    <w:p>
      <w:pPr>
        <w:pStyle w:val="ConsPlusTitle"/>
        <w:jc w:val="center"/>
      </w:pPr>
      <w:r>
        <w:t>САНКТ-ПЕТЕРБУРГА" ЗАКРЫТОМУ АКЦИОНЕРНОМУ ОБЩЕСТВУ</w:t>
      </w:r>
    </w:p>
    <w:p>
      <w:pPr>
        <w:pStyle w:val="ConsPlusTitle"/>
        <w:jc w:val="center"/>
      </w:pPr>
      <w:r>
        <w:t>"ТЕПЛОМАГИСТРАЛЬ", ПРИОБРЕТАЮЩЕМУ ТЕПЛОВУЮ ЭНЕРГИЮ С ЦЕЛЬЮ</w:t>
      </w:r>
    </w:p>
    <w:p>
      <w:pPr>
        <w:pStyle w:val="ConsPlusTitle"/>
        <w:jc w:val="center"/>
      </w:pPr>
      <w:r>
        <w:t>КОМПЕНСАЦИИ ПОТЕРЬ ТЕПЛОВОЙ ЭНЕРГИИ, НА 2016-2018 ГОДЫ</w:t>
      </w:r>
    </w:p>
    <w:p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247"/>
        <w:gridCol w:w="1361"/>
        <w:gridCol w:w="1417"/>
        <w:gridCol w:w="1020"/>
        <w:gridCol w:w="907"/>
        <w:gridCol w:w="907"/>
        <w:gridCol w:w="907"/>
        <w:gridCol w:w="907"/>
        <w:gridCol w:w="907"/>
      </w:tblGrid>
      <w:tr>
        <w:tc>
          <w:tcPr>
            <w:tcW w:w="510" w:type="dxa"/>
            <w:vMerge w:val="restart"/>
          </w:tcPr>
          <w:p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247" w:type="dxa"/>
            <w:vMerge w:val="restart"/>
          </w:tcPr>
          <w:p>
            <w:pPr>
              <w:pStyle w:val="ConsPlusNormal"/>
              <w:jc w:val="center"/>
            </w:pPr>
            <w:r>
              <w:t>Наименование потребителей</w:t>
            </w:r>
          </w:p>
        </w:tc>
        <w:tc>
          <w:tcPr>
            <w:tcW w:w="1361" w:type="dxa"/>
            <w:vMerge w:val="restart"/>
          </w:tcPr>
          <w:p>
            <w:pPr>
              <w:pStyle w:val="ConsPlusNormal"/>
              <w:jc w:val="center"/>
            </w:pPr>
            <w:r>
              <w:t>Вид тарифа</w:t>
            </w:r>
          </w:p>
        </w:tc>
        <w:tc>
          <w:tcPr>
            <w:tcW w:w="1417" w:type="dxa"/>
            <w:vMerge w:val="restart"/>
          </w:tcPr>
          <w:p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020" w:type="dxa"/>
            <w:vMerge w:val="restart"/>
          </w:tcPr>
          <w:p>
            <w:pPr>
              <w:pStyle w:val="ConsPlusNormal"/>
              <w:jc w:val="center"/>
            </w:pPr>
            <w:r>
              <w:t>Вода</w:t>
            </w:r>
          </w:p>
        </w:tc>
        <w:tc>
          <w:tcPr>
            <w:tcW w:w="3628" w:type="dxa"/>
            <w:gridSpan w:val="4"/>
          </w:tcPr>
          <w:p>
            <w:pPr>
              <w:pStyle w:val="ConsPlusNormal"/>
              <w:jc w:val="center"/>
            </w:pPr>
            <w:r>
              <w:t>Отборный пар давлением</w:t>
            </w:r>
          </w:p>
        </w:tc>
        <w:tc>
          <w:tcPr>
            <w:tcW w:w="907" w:type="dxa"/>
            <w:vMerge w:val="restart"/>
          </w:tcPr>
          <w:p>
            <w:pPr>
              <w:pStyle w:val="ConsPlusNormal"/>
              <w:jc w:val="center"/>
            </w:pPr>
            <w:r>
              <w:t>Острый и редуцированный пар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1247" w:type="dxa"/>
            <w:vMerge/>
          </w:tcPr>
          <w:p/>
        </w:tc>
        <w:tc>
          <w:tcPr>
            <w:tcW w:w="1361" w:type="dxa"/>
            <w:vMerge/>
          </w:tcPr>
          <w:p/>
        </w:tc>
        <w:tc>
          <w:tcPr>
            <w:tcW w:w="1417" w:type="dxa"/>
            <w:vMerge/>
          </w:tcPr>
          <w:p/>
        </w:tc>
        <w:tc>
          <w:tcPr>
            <w:tcW w:w="1020" w:type="dxa"/>
            <w:vMerge/>
          </w:tcPr>
          <w:p/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от 1,2 до 2,5 кг/см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от 2,5 до 7,0 кг/см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от 7,0 до 13,0 кг/см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свыше 13,0 кг/см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907" w:type="dxa"/>
            <w:vMerge/>
          </w:tcPr>
          <w:p/>
        </w:tc>
      </w:tr>
      <w:tr>
        <w:tc>
          <w:tcPr>
            <w:tcW w:w="510" w:type="dxa"/>
          </w:tcPr>
          <w:p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</w:tcPr>
          <w:p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10</w:t>
            </w:r>
          </w:p>
        </w:tc>
      </w:tr>
      <w:tr>
        <w:tc>
          <w:tcPr>
            <w:tcW w:w="510" w:type="dxa"/>
            <w:vMerge w:val="restart"/>
            <w:tcBorders>
              <w:bottom w:val="nil"/>
            </w:tcBorders>
          </w:tcPr>
          <w:p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1247" w:type="dxa"/>
            <w:vMerge w:val="restart"/>
            <w:tcBorders>
              <w:bottom w:val="nil"/>
            </w:tcBorders>
          </w:tcPr>
          <w:p>
            <w:pPr>
              <w:pStyle w:val="ConsPlusNormal"/>
              <w:jc w:val="center"/>
            </w:pPr>
            <w:r>
              <w:t>Закрытое акционерное общество "Тепломагистраль"</w:t>
            </w:r>
          </w:p>
        </w:tc>
        <w:tc>
          <w:tcPr>
            <w:tcW w:w="1361" w:type="dxa"/>
            <w:vMerge w:val="restart"/>
          </w:tcPr>
          <w:p>
            <w:pPr>
              <w:pStyle w:val="ConsPlusNormal"/>
              <w:jc w:val="center"/>
            </w:pPr>
            <w:r>
              <w:t>одноставочный, руб./Гкал</w:t>
            </w:r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751,14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  <w:tcBorders>
              <w:bottom w:val="nil"/>
            </w:tcBorders>
          </w:tcPr>
          <w:p/>
        </w:tc>
        <w:tc>
          <w:tcPr>
            <w:tcW w:w="1247" w:type="dxa"/>
            <w:vMerge/>
            <w:tcBorders>
              <w:bottom w:val="nil"/>
            </w:tcBorders>
          </w:tcPr>
          <w:p/>
        </w:tc>
        <w:tc>
          <w:tcPr>
            <w:tcW w:w="1361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802,58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  <w:tcBorders>
              <w:bottom w:val="nil"/>
            </w:tcBorders>
          </w:tcPr>
          <w:p/>
        </w:tc>
        <w:tc>
          <w:tcPr>
            <w:tcW w:w="1247" w:type="dxa"/>
            <w:vMerge/>
            <w:tcBorders>
              <w:bottom w:val="nil"/>
            </w:tcBorders>
          </w:tcPr>
          <w:p/>
        </w:tc>
        <w:tc>
          <w:tcPr>
            <w:tcW w:w="1361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2017 года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799,85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  <w:tcBorders>
              <w:bottom w:val="nil"/>
            </w:tcBorders>
          </w:tcPr>
          <w:p/>
        </w:tc>
        <w:tc>
          <w:tcPr>
            <w:tcW w:w="1247" w:type="dxa"/>
            <w:vMerge/>
            <w:tcBorders>
              <w:bottom w:val="nil"/>
            </w:tcBorders>
          </w:tcPr>
          <w:p/>
        </w:tc>
        <w:tc>
          <w:tcPr>
            <w:tcW w:w="1361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799,85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  <w:tcBorders>
              <w:bottom w:val="nil"/>
            </w:tcBorders>
          </w:tcPr>
          <w:p/>
        </w:tc>
        <w:tc>
          <w:tcPr>
            <w:tcW w:w="1247" w:type="dxa"/>
            <w:vMerge/>
            <w:tcBorders>
              <w:bottom w:val="nil"/>
            </w:tcBorders>
          </w:tcPr>
          <w:p/>
        </w:tc>
        <w:tc>
          <w:tcPr>
            <w:tcW w:w="1361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799,85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  <w:tcBorders>
              <w:bottom w:val="nil"/>
            </w:tcBorders>
          </w:tcPr>
          <w:p/>
        </w:tc>
        <w:tc>
          <w:tcPr>
            <w:tcW w:w="1247" w:type="dxa"/>
            <w:vMerge/>
            <w:tcBorders>
              <w:bottom w:val="nil"/>
            </w:tcBorders>
          </w:tcPr>
          <w:p/>
        </w:tc>
        <w:tc>
          <w:tcPr>
            <w:tcW w:w="1361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2018 года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837,44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  <w:tcBorders>
              <w:bottom w:val="nil"/>
            </w:tcBorders>
          </w:tcPr>
          <w:p/>
        </w:tc>
        <w:tc>
          <w:tcPr>
            <w:tcW w:w="1247" w:type="dxa"/>
            <w:vMerge/>
            <w:tcBorders>
              <w:bottom w:val="nil"/>
            </w:tcBorders>
          </w:tcPr>
          <w:p/>
        </w:tc>
        <w:tc>
          <w:tcPr>
            <w:tcW w:w="1361" w:type="dxa"/>
          </w:tcPr>
          <w:p>
            <w:pPr>
              <w:pStyle w:val="ConsPlusNormal"/>
              <w:jc w:val="center"/>
            </w:pPr>
            <w:r>
              <w:t>двухставочный</w:t>
            </w:r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</w:tr>
      <w:tr>
        <w:tc>
          <w:tcPr>
            <w:tcW w:w="510" w:type="dxa"/>
            <w:vMerge w:val="restart"/>
            <w:tcBorders>
              <w:top w:val="nil"/>
              <w:bottom w:val="nil"/>
            </w:tcBorders>
          </w:tcPr>
          <w:p>
            <w:pPr>
              <w:pStyle w:val="ConsPlusNormal"/>
            </w:pPr>
          </w:p>
        </w:tc>
        <w:tc>
          <w:tcPr>
            <w:tcW w:w="1247" w:type="dxa"/>
            <w:vMerge w:val="restart"/>
            <w:tcBorders>
              <w:top w:val="nil"/>
              <w:bottom w:val="nil"/>
            </w:tcBorders>
          </w:tcPr>
          <w:p>
            <w:pPr>
              <w:pStyle w:val="ConsPlusNormal"/>
            </w:pPr>
          </w:p>
        </w:tc>
        <w:tc>
          <w:tcPr>
            <w:tcW w:w="1361" w:type="dxa"/>
            <w:vMerge w:val="restart"/>
          </w:tcPr>
          <w:p>
            <w:pPr>
              <w:pStyle w:val="ConsPlusNormal"/>
              <w:jc w:val="center"/>
            </w:pPr>
            <w:r>
              <w:t>ставка за тепловую энергию, руб./Гкал</w:t>
            </w:r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  <w:tcBorders>
              <w:top w:val="nil"/>
              <w:bottom w:val="nil"/>
            </w:tcBorders>
          </w:tcPr>
          <w:p/>
        </w:tc>
        <w:tc>
          <w:tcPr>
            <w:tcW w:w="1247" w:type="dxa"/>
            <w:vMerge/>
            <w:tcBorders>
              <w:top w:val="nil"/>
              <w:bottom w:val="nil"/>
            </w:tcBorders>
          </w:tcPr>
          <w:p/>
        </w:tc>
        <w:tc>
          <w:tcPr>
            <w:tcW w:w="1361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  <w:tcBorders>
              <w:top w:val="nil"/>
              <w:bottom w:val="nil"/>
            </w:tcBorders>
          </w:tcPr>
          <w:p/>
        </w:tc>
        <w:tc>
          <w:tcPr>
            <w:tcW w:w="1247" w:type="dxa"/>
            <w:vMerge/>
            <w:tcBorders>
              <w:top w:val="nil"/>
              <w:bottom w:val="nil"/>
            </w:tcBorders>
          </w:tcPr>
          <w:p/>
        </w:tc>
        <w:tc>
          <w:tcPr>
            <w:tcW w:w="1361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2017 года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  <w:tcBorders>
              <w:top w:val="nil"/>
              <w:bottom w:val="nil"/>
            </w:tcBorders>
          </w:tcPr>
          <w:p/>
        </w:tc>
        <w:tc>
          <w:tcPr>
            <w:tcW w:w="1247" w:type="dxa"/>
            <w:vMerge/>
            <w:tcBorders>
              <w:top w:val="nil"/>
              <w:bottom w:val="nil"/>
            </w:tcBorders>
          </w:tcPr>
          <w:p/>
        </w:tc>
        <w:tc>
          <w:tcPr>
            <w:tcW w:w="1361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  <w:tcBorders>
              <w:top w:val="nil"/>
              <w:bottom w:val="nil"/>
            </w:tcBorders>
          </w:tcPr>
          <w:p/>
        </w:tc>
        <w:tc>
          <w:tcPr>
            <w:tcW w:w="1247" w:type="dxa"/>
            <w:vMerge/>
            <w:tcBorders>
              <w:top w:val="nil"/>
              <w:bottom w:val="nil"/>
            </w:tcBorders>
          </w:tcPr>
          <w:p/>
        </w:tc>
        <w:tc>
          <w:tcPr>
            <w:tcW w:w="1361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  <w:tcBorders>
              <w:top w:val="nil"/>
              <w:bottom w:val="nil"/>
            </w:tcBorders>
          </w:tcPr>
          <w:p/>
        </w:tc>
        <w:tc>
          <w:tcPr>
            <w:tcW w:w="1247" w:type="dxa"/>
            <w:vMerge/>
            <w:tcBorders>
              <w:top w:val="nil"/>
              <w:bottom w:val="nil"/>
            </w:tcBorders>
          </w:tcPr>
          <w:p/>
        </w:tc>
        <w:tc>
          <w:tcPr>
            <w:tcW w:w="1361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2018 года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 w:val="restart"/>
            <w:tcBorders>
              <w:top w:val="nil"/>
            </w:tcBorders>
          </w:tcPr>
          <w:p>
            <w:pPr>
              <w:pStyle w:val="ConsPlusNormal"/>
            </w:pPr>
          </w:p>
        </w:tc>
        <w:tc>
          <w:tcPr>
            <w:tcW w:w="1247" w:type="dxa"/>
            <w:vMerge w:val="restart"/>
            <w:tcBorders>
              <w:top w:val="nil"/>
            </w:tcBorders>
          </w:tcPr>
          <w:p>
            <w:pPr>
              <w:pStyle w:val="ConsPlusNormal"/>
            </w:pPr>
          </w:p>
        </w:tc>
        <w:tc>
          <w:tcPr>
            <w:tcW w:w="1361" w:type="dxa"/>
            <w:vMerge w:val="restart"/>
          </w:tcPr>
          <w:p>
            <w:pPr>
              <w:pStyle w:val="ConsPlusNormal"/>
              <w:jc w:val="center"/>
            </w:pPr>
            <w:r>
              <w:t>ставка за содержание тепловой мощности, тыс. руб./Гкал/</w:t>
            </w:r>
            <w:proofErr w:type="gramStart"/>
            <w:r>
              <w:t>ч</w:t>
            </w:r>
            <w:proofErr w:type="gramEnd"/>
            <w:r>
              <w:t xml:space="preserve"> в мес.</w:t>
            </w:r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  <w:tcBorders>
              <w:top w:val="nil"/>
            </w:tcBorders>
          </w:tcPr>
          <w:p/>
        </w:tc>
        <w:tc>
          <w:tcPr>
            <w:tcW w:w="1247" w:type="dxa"/>
            <w:vMerge/>
            <w:tcBorders>
              <w:top w:val="nil"/>
            </w:tcBorders>
          </w:tcPr>
          <w:p/>
        </w:tc>
        <w:tc>
          <w:tcPr>
            <w:tcW w:w="1361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  <w:tcBorders>
              <w:top w:val="nil"/>
            </w:tcBorders>
          </w:tcPr>
          <w:p/>
        </w:tc>
        <w:tc>
          <w:tcPr>
            <w:tcW w:w="1247" w:type="dxa"/>
            <w:vMerge/>
            <w:tcBorders>
              <w:top w:val="nil"/>
            </w:tcBorders>
          </w:tcPr>
          <w:p/>
        </w:tc>
        <w:tc>
          <w:tcPr>
            <w:tcW w:w="1361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2017 года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  <w:tcBorders>
              <w:top w:val="nil"/>
            </w:tcBorders>
          </w:tcPr>
          <w:p/>
        </w:tc>
        <w:tc>
          <w:tcPr>
            <w:tcW w:w="1247" w:type="dxa"/>
            <w:vMerge/>
            <w:tcBorders>
              <w:top w:val="nil"/>
            </w:tcBorders>
          </w:tcPr>
          <w:p/>
        </w:tc>
        <w:tc>
          <w:tcPr>
            <w:tcW w:w="1361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  <w:tcBorders>
              <w:top w:val="nil"/>
            </w:tcBorders>
          </w:tcPr>
          <w:p/>
        </w:tc>
        <w:tc>
          <w:tcPr>
            <w:tcW w:w="1247" w:type="dxa"/>
            <w:vMerge/>
            <w:tcBorders>
              <w:top w:val="nil"/>
            </w:tcBorders>
          </w:tcPr>
          <w:p/>
        </w:tc>
        <w:tc>
          <w:tcPr>
            <w:tcW w:w="1361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  <w:tcBorders>
              <w:top w:val="nil"/>
            </w:tcBorders>
          </w:tcPr>
          <w:p/>
        </w:tc>
        <w:tc>
          <w:tcPr>
            <w:tcW w:w="1247" w:type="dxa"/>
            <w:vMerge/>
            <w:tcBorders>
              <w:top w:val="nil"/>
            </w:tcBorders>
          </w:tcPr>
          <w:p/>
        </w:tc>
        <w:tc>
          <w:tcPr>
            <w:tcW w:w="1361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2018 года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</w:tbl>
    <w:p>
      <w:pPr>
        <w:pStyle w:val="ConsPlusNormal"/>
        <w:jc w:val="both"/>
      </w:pPr>
    </w:p>
    <w:p>
      <w:pPr>
        <w:pStyle w:val="ConsPlusNormal"/>
        <w:ind w:firstLine="540"/>
        <w:jc w:val="both"/>
      </w:pPr>
      <w:r>
        <w:t>Примечания:</w:t>
      </w:r>
    </w:p>
    <w:p>
      <w:pPr>
        <w:pStyle w:val="ConsPlusNormal"/>
        <w:ind w:firstLine="540"/>
        <w:jc w:val="both"/>
      </w:pPr>
      <w:r>
        <w:t>1. В тарифы не включен НДС.</w:t>
      </w:r>
    </w:p>
    <w:p>
      <w:pPr>
        <w:pStyle w:val="ConsPlusNormal"/>
        <w:ind w:firstLine="540"/>
        <w:jc w:val="both"/>
      </w:pPr>
      <w:r>
        <w:t>2. 1 полугодие: с 1 января по 30 июня; 2 полугодие: с 1 июля по 31 декабря.</w:t>
      </w: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right"/>
      </w:pPr>
      <w:r>
        <w:t>ПРИЛОЖЕНИЕ 4</w:t>
      </w:r>
    </w:p>
    <w:p>
      <w:pPr>
        <w:pStyle w:val="ConsPlusNormal"/>
        <w:jc w:val="right"/>
      </w:pPr>
      <w:r>
        <w:t>к распоряжению</w:t>
      </w:r>
    </w:p>
    <w:p>
      <w:pPr>
        <w:pStyle w:val="ConsPlusNormal"/>
        <w:jc w:val="right"/>
      </w:pPr>
      <w:r>
        <w:t>Комитета по тарифам</w:t>
      </w:r>
    </w:p>
    <w:p>
      <w:pPr>
        <w:pStyle w:val="ConsPlusNormal"/>
        <w:jc w:val="right"/>
      </w:pPr>
      <w:r>
        <w:t>Санкт-Петербурга</w:t>
      </w:r>
    </w:p>
    <w:p>
      <w:pPr>
        <w:pStyle w:val="ConsPlusNormal"/>
        <w:jc w:val="right"/>
      </w:pPr>
      <w:r>
        <w:t>от 27.11.2015 N 363-р</w:t>
      </w:r>
    </w:p>
    <w:p>
      <w:pPr>
        <w:pStyle w:val="ConsPlusNormal"/>
        <w:jc w:val="both"/>
      </w:pPr>
    </w:p>
    <w:p>
      <w:pPr>
        <w:pStyle w:val="ConsPlusTitle"/>
        <w:jc w:val="center"/>
      </w:pPr>
      <w:bookmarkStart w:id="4" w:name="P939"/>
      <w:bookmarkEnd w:id="4"/>
      <w:r>
        <w:lastRenderedPageBreak/>
        <w:t>ТАРИФЫ</w:t>
      </w:r>
    </w:p>
    <w:p>
      <w:pPr>
        <w:pStyle w:val="ConsPlusTitle"/>
        <w:jc w:val="center"/>
      </w:pPr>
      <w:r>
        <w:t xml:space="preserve">НА ТЕПЛОНОСИТЕЛЬ, ПОСТАВЛЯЕМЫЙ </w:t>
      </w:r>
      <w:proofErr w:type="gramStart"/>
      <w:r>
        <w:t>ГОСУДАРСТВЕННЫМ</w:t>
      </w:r>
      <w:proofErr w:type="gramEnd"/>
      <w:r>
        <w:t xml:space="preserve"> УНИТАРНЫМ</w:t>
      </w:r>
    </w:p>
    <w:p>
      <w:pPr>
        <w:pStyle w:val="ConsPlusTitle"/>
        <w:jc w:val="center"/>
      </w:pPr>
      <w:r>
        <w:t>ПРЕДПРИЯТИЕМ "ТОПЛИВНО-ЭНЕРГЕТИЧЕСКИЙ КОМПЛЕКС</w:t>
      </w:r>
    </w:p>
    <w:p>
      <w:pPr>
        <w:pStyle w:val="ConsPlusTitle"/>
        <w:jc w:val="center"/>
      </w:pPr>
      <w:r>
        <w:t>САНКТ-ПЕТЕРБУРГА" ПОТРЕБИТЕЛЯМ, РАСПОЛОЖЕННЫМ НА ТЕРРИТОРИИ</w:t>
      </w:r>
    </w:p>
    <w:p>
      <w:pPr>
        <w:pStyle w:val="ConsPlusTitle"/>
        <w:jc w:val="center"/>
      </w:pPr>
      <w:r>
        <w:t>САНКТ-ПЕТЕРБУРГА, НА 2016-2018 ГОДЫ</w:t>
      </w:r>
    </w:p>
    <w:p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324"/>
        <w:gridCol w:w="1928"/>
        <w:gridCol w:w="2608"/>
        <w:gridCol w:w="1134"/>
        <w:gridCol w:w="1134"/>
      </w:tblGrid>
      <w:tr>
        <w:tc>
          <w:tcPr>
            <w:tcW w:w="510" w:type="dxa"/>
            <w:vMerge w:val="restart"/>
          </w:tcPr>
          <w:p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24" w:type="dxa"/>
            <w:vMerge w:val="restart"/>
          </w:tcPr>
          <w:p>
            <w:pPr>
              <w:pStyle w:val="ConsPlusNormal"/>
              <w:jc w:val="center"/>
            </w:pPr>
            <w:r>
              <w:t>Наименование потребителей</w:t>
            </w:r>
          </w:p>
        </w:tc>
        <w:tc>
          <w:tcPr>
            <w:tcW w:w="1928" w:type="dxa"/>
            <w:vMerge w:val="restart"/>
          </w:tcPr>
          <w:p>
            <w:pPr>
              <w:pStyle w:val="ConsPlusNormal"/>
              <w:jc w:val="center"/>
            </w:pPr>
            <w:r>
              <w:t>Вид тарифа</w:t>
            </w:r>
          </w:p>
        </w:tc>
        <w:tc>
          <w:tcPr>
            <w:tcW w:w="2608" w:type="dxa"/>
            <w:vMerge w:val="restart"/>
          </w:tcPr>
          <w:p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2268" w:type="dxa"/>
            <w:gridSpan w:val="2"/>
          </w:tcPr>
          <w:p>
            <w:pPr>
              <w:pStyle w:val="ConsPlusNormal"/>
              <w:jc w:val="center"/>
            </w:pPr>
            <w:r>
              <w:t>Вид теплоносителя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2324" w:type="dxa"/>
            <w:vMerge/>
          </w:tcPr>
          <w:p/>
        </w:tc>
        <w:tc>
          <w:tcPr>
            <w:tcW w:w="1928" w:type="dxa"/>
            <w:vMerge/>
          </w:tcPr>
          <w:p/>
        </w:tc>
        <w:tc>
          <w:tcPr>
            <w:tcW w:w="2608" w:type="dxa"/>
            <w:vMerge/>
          </w:tcPr>
          <w:p/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вода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пар</w:t>
            </w:r>
          </w:p>
        </w:tc>
      </w:tr>
      <w:tr>
        <w:tc>
          <w:tcPr>
            <w:tcW w:w="9638" w:type="dxa"/>
            <w:gridSpan w:val="6"/>
          </w:tcPr>
          <w:p>
            <w:pPr>
              <w:pStyle w:val="ConsPlusNormal"/>
              <w:jc w:val="center"/>
            </w:pPr>
            <w:r>
              <w:t>Тарифы на теплоноситель, поставляемый потребителям</w:t>
            </w:r>
          </w:p>
        </w:tc>
      </w:tr>
      <w:tr>
        <w:tc>
          <w:tcPr>
            <w:tcW w:w="510" w:type="dxa"/>
            <w:vMerge w:val="restart"/>
          </w:tcPr>
          <w:p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24" w:type="dxa"/>
            <w:vMerge w:val="restart"/>
          </w:tcPr>
          <w:p>
            <w:pPr>
              <w:pStyle w:val="ConsPlusNormal"/>
              <w:jc w:val="center"/>
            </w:pPr>
            <w:r>
              <w:t>Закрытое акционерное общество "Тепломагистраль"</w:t>
            </w:r>
          </w:p>
        </w:tc>
        <w:tc>
          <w:tcPr>
            <w:tcW w:w="1928" w:type="dxa"/>
            <w:vMerge w:val="restart"/>
          </w:tcPr>
          <w:p>
            <w:pPr>
              <w:pStyle w:val="ConsPlusNormal"/>
              <w:jc w:val="center"/>
            </w:pPr>
            <w:r>
              <w:t>Одноставочный, руб./м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2608" w:type="dxa"/>
          </w:tcPr>
          <w:p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25,83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2324" w:type="dxa"/>
            <w:vMerge/>
          </w:tcPr>
          <w:p/>
        </w:tc>
        <w:tc>
          <w:tcPr>
            <w:tcW w:w="1928" w:type="dxa"/>
            <w:vMerge/>
          </w:tcPr>
          <w:p/>
        </w:tc>
        <w:tc>
          <w:tcPr>
            <w:tcW w:w="2608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30,45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2324" w:type="dxa"/>
            <w:vMerge/>
          </w:tcPr>
          <w:p/>
        </w:tc>
        <w:tc>
          <w:tcPr>
            <w:tcW w:w="1928" w:type="dxa"/>
            <w:vMerge/>
          </w:tcPr>
          <w:p/>
        </w:tc>
        <w:tc>
          <w:tcPr>
            <w:tcW w:w="2608" w:type="dxa"/>
          </w:tcPr>
          <w:p>
            <w:pPr>
              <w:pStyle w:val="ConsPlusNormal"/>
              <w:jc w:val="center"/>
            </w:pPr>
            <w:r>
              <w:t>1 полугодие 2017 года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30,45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2324" w:type="dxa"/>
            <w:vMerge/>
          </w:tcPr>
          <w:p/>
        </w:tc>
        <w:tc>
          <w:tcPr>
            <w:tcW w:w="1928" w:type="dxa"/>
            <w:vMerge/>
          </w:tcPr>
          <w:p/>
        </w:tc>
        <w:tc>
          <w:tcPr>
            <w:tcW w:w="2608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31,99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2324" w:type="dxa"/>
            <w:vMerge/>
          </w:tcPr>
          <w:p/>
        </w:tc>
        <w:tc>
          <w:tcPr>
            <w:tcW w:w="1928" w:type="dxa"/>
            <w:vMerge/>
          </w:tcPr>
          <w:p/>
        </w:tc>
        <w:tc>
          <w:tcPr>
            <w:tcW w:w="2608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31,99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2324" w:type="dxa"/>
            <w:vMerge/>
          </w:tcPr>
          <w:p/>
        </w:tc>
        <w:tc>
          <w:tcPr>
            <w:tcW w:w="1928" w:type="dxa"/>
            <w:vMerge/>
          </w:tcPr>
          <w:p/>
        </w:tc>
        <w:tc>
          <w:tcPr>
            <w:tcW w:w="2608" w:type="dxa"/>
          </w:tcPr>
          <w:p>
            <w:pPr>
              <w:pStyle w:val="ConsPlusNormal"/>
              <w:jc w:val="center"/>
            </w:pPr>
            <w:r>
              <w:t>2 полугодие 2018 года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37,92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 w:val="restart"/>
          </w:tcPr>
          <w:p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324" w:type="dxa"/>
            <w:vMerge w:val="restart"/>
          </w:tcPr>
          <w:p>
            <w:pPr>
              <w:pStyle w:val="ConsPlusNormal"/>
              <w:jc w:val="center"/>
            </w:pPr>
            <w:r>
              <w:t>Прочие потребители</w:t>
            </w:r>
          </w:p>
        </w:tc>
        <w:tc>
          <w:tcPr>
            <w:tcW w:w="1928" w:type="dxa"/>
            <w:vMerge w:val="restart"/>
          </w:tcPr>
          <w:p>
            <w:pPr>
              <w:pStyle w:val="ConsPlusNormal"/>
              <w:jc w:val="center"/>
            </w:pPr>
            <w:r>
              <w:t>Одноставочный, руб./м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2608" w:type="dxa"/>
          </w:tcPr>
          <w:p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25,83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34,50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2324" w:type="dxa"/>
            <w:vMerge/>
          </w:tcPr>
          <w:p/>
        </w:tc>
        <w:tc>
          <w:tcPr>
            <w:tcW w:w="1928" w:type="dxa"/>
            <w:vMerge/>
          </w:tcPr>
          <w:p/>
        </w:tc>
        <w:tc>
          <w:tcPr>
            <w:tcW w:w="2608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30,45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43,25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2324" w:type="dxa"/>
            <w:vMerge/>
          </w:tcPr>
          <w:p/>
        </w:tc>
        <w:tc>
          <w:tcPr>
            <w:tcW w:w="1928" w:type="dxa"/>
            <w:vMerge/>
          </w:tcPr>
          <w:p/>
        </w:tc>
        <w:tc>
          <w:tcPr>
            <w:tcW w:w="2608" w:type="dxa"/>
          </w:tcPr>
          <w:p>
            <w:pPr>
              <w:pStyle w:val="ConsPlusNormal"/>
              <w:jc w:val="center"/>
            </w:pPr>
            <w:r>
              <w:t>1 полугодие 2017 года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30,45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41,97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2324" w:type="dxa"/>
            <w:vMerge/>
          </w:tcPr>
          <w:p/>
        </w:tc>
        <w:tc>
          <w:tcPr>
            <w:tcW w:w="1928" w:type="dxa"/>
            <w:vMerge/>
          </w:tcPr>
          <w:p/>
        </w:tc>
        <w:tc>
          <w:tcPr>
            <w:tcW w:w="2608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31,99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41,97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2324" w:type="dxa"/>
            <w:vMerge/>
          </w:tcPr>
          <w:p/>
        </w:tc>
        <w:tc>
          <w:tcPr>
            <w:tcW w:w="1928" w:type="dxa"/>
            <w:vMerge/>
          </w:tcPr>
          <w:p/>
        </w:tc>
        <w:tc>
          <w:tcPr>
            <w:tcW w:w="2608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31,99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41,97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2324" w:type="dxa"/>
            <w:vMerge/>
          </w:tcPr>
          <w:p/>
        </w:tc>
        <w:tc>
          <w:tcPr>
            <w:tcW w:w="1928" w:type="dxa"/>
            <w:vMerge/>
          </w:tcPr>
          <w:p/>
        </w:tc>
        <w:tc>
          <w:tcPr>
            <w:tcW w:w="2608" w:type="dxa"/>
          </w:tcPr>
          <w:p>
            <w:pPr>
              <w:pStyle w:val="ConsPlusNormal"/>
              <w:jc w:val="center"/>
            </w:pPr>
            <w:r>
              <w:t>2 полугодие 2018 года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37,92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50,01</w:t>
            </w:r>
          </w:p>
        </w:tc>
      </w:tr>
      <w:tr>
        <w:tc>
          <w:tcPr>
            <w:tcW w:w="510" w:type="dxa"/>
            <w:vMerge w:val="restart"/>
          </w:tcPr>
          <w:p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324" w:type="dxa"/>
            <w:vMerge w:val="restart"/>
          </w:tcPr>
          <w:p>
            <w:pPr>
              <w:pStyle w:val="ConsPlusNormal"/>
              <w:jc w:val="center"/>
            </w:pPr>
            <w:r>
              <w:t xml:space="preserve">Население (тарифы </w:t>
            </w:r>
            <w:r>
              <w:lastRenderedPageBreak/>
              <w:t>указаны с учетом НДС)</w:t>
            </w:r>
          </w:p>
        </w:tc>
        <w:tc>
          <w:tcPr>
            <w:tcW w:w="1928" w:type="dxa"/>
            <w:vMerge w:val="restart"/>
          </w:tcPr>
          <w:p>
            <w:pPr>
              <w:pStyle w:val="ConsPlusNormal"/>
              <w:jc w:val="center"/>
            </w:pPr>
            <w:r>
              <w:lastRenderedPageBreak/>
              <w:t xml:space="preserve">Одноставочный, </w:t>
            </w:r>
            <w:r>
              <w:lastRenderedPageBreak/>
              <w:t>руб./м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2608" w:type="dxa"/>
          </w:tcPr>
          <w:p>
            <w:pPr>
              <w:pStyle w:val="ConsPlusNormal"/>
              <w:jc w:val="center"/>
            </w:pPr>
            <w:r>
              <w:lastRenderedPageBreak/>
              <w:t>1 полугодие 2016 года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2324" w:type="dxa"/>
            <w:vMerge/>
          </w:tcPr>
          <w:p/>
        </w:tc>
        <w:tc>
          <w:tcPr>
            <w:tcW w:w="1928" w:type="dxa"/>
            <w:vMerge/>
          </w:tcPr>
          <w:p/>
        </w:tc>
        <w:tc>
          <w:tcPr>
            <w:tcW w:w="2608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2324" w:type="dxa"/>
            <w:vMerge/>
          </w:tcPr>
          <w:p/>
        </w:tc>
        <w:tc>
          <w:tcPr>
            <w:tcW w:w="1928" w:type="dxa"/>
            <w:vMerge/>
          </w:tcPr>
          <w:p/>
        </w:tc>
        <w:tc>
          <w:tcPr>
            <w:tcW w:w="2608" w:type="dxa"/>
          </w:tcPr>
          <w:p>
            <w:pPr>
              <w:pStyle w:val="ConsPlusNormal"/>
              <w:jc w:val="center"/>
            </w:pPr>
            <w:r>
              <w:t>1 полугодие 2017 года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2324" w:type="dxa"/>
            <w:vMerge/>
          </w:tcPr>
          <w:p/>
        </w:tc>
        <w:tc>
          <w:tcPr>
            <w:tcW w:w="1928" w:type="dxa"/>
            <w:vMerge/>
          </w:tcPr>
          <w:p/>
        </w:tc>
        <w:tc>
          <w:tcPr>
            <w:tcW w:w="2608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2324" w:type="dxa"/>
            <w:vMerge/>
          </w:tcPr>
          <w:p/>
        </w:tc>
        <w:tc>
          <w:tcPr>
            <w:tcW w:w="1928" w:type="dxa"/>
            <w:vMerge/>
          </w:tcPr>
          <w:p/>
        </w:tc>
        <w:tc>
          <w:tcPr>
            <w:tcW w:w="2608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2324" w:type="dxa"/>
            <w:vMerge/>
          </w:tcPr>
          <w:p/>
        </w:tc>
        <w:tc>
          <w:tcPr>
            <w:tcW w:w="1928" w:type="dxa"/>
            <w:vMerge/>
          </w:tcPr>
          <w:p/>
        </w:tc>
        <w:tc>
          <w:tcPr>
            <w:tcW w:w="2608" w:type="dxa"/>
          </w:tcPr>
          <w:p>
            <w:pPr>
              <w:pStyle w:val="ConsPlusNormal"/>
              <w:jc w:val="center"/>
            </w:pPr>
            <w:r>
              <w:t>2 полугодие 2018 года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</w:tbl>
    <w:p>
      <w:pPr>
        <w:pStyle w:val="ConsPlusNormal"/>
        <w:jc w:val="both"/>
      </w:pPr>
    </w:p>
    <w:p>
      <w:pPr>
        <w:pStyle w:val="ConsPlusNormal"/>
        <w:ind w:firstLine="540"/>
        <w:jc w:val="both"/>
      </w:pPr>
      <w:r>
        <w:t>Примечания:</w:t>
      </w:r>
    </w:p>
    <w:p>
      <w:pPr>
        <w:pStyle w:val="ConsPlusNormal"/>
        <w:ind w:firstLine="540"/>
        <w:jc w:val="both"/>
      </w:pPr>
      <w:r>
        <w:t>1. В тарифы не включен НДС.</w:t>
      </w:r>
    </w:p>
    <w:p>
      <w:pPr>
        <w:pStyle w:val="ConsPlusNormal"/>
        <w:ind w:firstLine="540"/>
        <w:jc w:val="both"/>
      </w:pPr>
      <w:r>
        <w:t>2. 1 полугодие: с 1 января по 30 июня; 2 полугодие: с 1 июля по 31 декабря.</w:t>
      </w: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right"/>
      </w:pPr>
      <w:r>
        <w:t>ПРИЛОЖЕНИЕ 5</w:t>
      </w:r>
    </w:p>
    <w:p>
      <w:pPr>
        <w:pStyle w:val="ConsPlusNormal"/>
        <w:jc w:val="right"/>
      </w:pPr>
      <w:r>
        <w:t>к распоряжению</w:t>
      </w:r>
    </w:p>
    <w:p>
      <w:pPr>
        <w:pStyle w:val="ConsPlusNormal"/>
        <w:jc w:val="right"/>
      </w:pPr>
      <w:r>
        <w:t>Комитета по тарифам</w:t>
      </w:r>
    </w:p>
    <w:p>
      <w:pPr>
        <w:pStyle w:val="ConsPlusNormal"/>
        <w:jc w:val="right"/>
      </w:pPr>
      <w:r>
        <w:t>Санкт-Петербурга</w:t>
      </w:r>
    </w:p>
    <w:p>
      <w:pPr>
        <w:pStyle w:val="ConsPlusNormal"/>
        <w:jc w:val="right"/>
      </w:pPr>
      <w:r>
        <w:t>от 27.11.2015 N 363-р</w:t>
      </w:r>
    </w:p>
    <w:p>
      <w:pPr>
        <w:pStyle w:val="ConsPlusNormal"/>
        <w:jc w:val="both"/>
      </w:pPr>
    </w:p>
    <w:p>
      <w:pPr>
        <w:pStyle w:val="ConsPlusTitle"/>
        <w:jc w:val="center"/>
      </w:pPr>
      <w:r>
        <w:t>ТАРИФЫ</w:t>
      </w:r>
    </w:p>
    <w:p>
      <w:pPr>
        <w:pStyle w:val="ConsPlusTitle"/>
        <w:jc w:val="center"/>
      </w:pPr>
      <w:r>
        <w:t>НА УСЛУГИ ПО ПЕРЕДАЧЕ ТЕПЛОВОЙ ЭНЕРГИИ, ТЕПЛОНОСИТЕЛЯ</w:t>
      </w:r>
    </w:p>
    <w:p>
      <w:pPr>
        <w:pStyle w:val="ConsPlusTitle"/>
        <w:jc w:val="center"/>
      </w:pPr>
      <w:r>
        <w:t>ПО СЕТЯМ ГОСУДАРСТВЕННОГО УНИТАРНОГО ПРЕДПРИЯТИЯ</w:t>
      </w:r>
    </w:p>
    <w:p>
      <w:pPr>
        <w:pStyle w:val="ConsPlusTitle"/>
        <w:jc w:val="center"/>
      </w:pPr>
      <w:r>
        <w:t>"ТОПЛИВНО-ЭНЕРГЕТИЧЕСКИЙ КОМПЛЕКС САНКТ-ПЕТЕРБУРГА"</w:t>
      </w:r>
    </w:p>
    <w:p>
      <w:pPr>
        <w:pStyle w:val="ConsPlusTitle"/>
        <w:jc w:val="center"/>
      </w:pPr>
      <w:r>
        <w:t>НА ТЕРРИТОРИИ САНКТ-ПЕТЕРБУРГА НА 2016-2018 ГОДЫ</w:t>
      </w:r>
    </w:p>
    <w:p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2438"/>
        <w:gridCol w:w="3061"/>
        <w:gridCol w:w="1701"/>
        <w:gridCol w:w="1701"/>
      </w:tblGrid>
      <w:tr>
        <w:tc>
          <w:tcPr>
            <w:tcW w:w="737" w:type="dxa"/>
            <w:vMerge w:val="restart"/>
          </w:tcPr>
          <w:p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438" w:type="dxa"/>
            <w:vMerge w:val="restart"/>
          </w:tcPr>
          <w:p>
            <w:pPr>
              <w:pStyle w:val="ConsPlusNormal"/>
              <w:jc w:val="center"/>
            </w:pPr>
            <w:r>
              <w:t>Наименование потребителей</w:t>
            </w:r>
          </w:p>
        </w:tc>
        <w:tc>
          <w:tcPr>
            <w:tcW w:w="3061" w:type="dxa"/>
            <w:vMerge w:val="restart"/>
          </w:tcPr>
          <w:p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3402" w:type="dxa"/>
            <w:gridSpan w:val="2"/>
          </w:tcPr>
          <w:p>
            <w:pPr>
              <w:pStyle w:val="ConsPlusNormal"/>
              <w:jc w:val="center"/>
            </w:pPr>
            <w:r>
              <w:t>Вид теплоносителя</w:t>
            </w:r>
          </w:p>
        </w:tc>
      </w:tr>
      <w:tr>
        <w:tc>
          <w:tcPr>
            <w:tcW w:w="737" w:type="dxa"/>
            <w:vMerge/>
          </w:tcPr>
          <w:p/>
        </w:tc>
        <w:tc>
          <w:tcPr>
            <w:tcW w:w="2438" w:type="dxa"/>
            <w:vMerge/>
          </w:tcPr>
          <w:p/>
        </w:tc>
        <w:tc>
          <w:tcPr>
            <w:tcW w:w="3061" w:type="dxa"/>
            <w:vMerge/>
          </w:tcPr>
          <w:p/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Вода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Пар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8901" w:type="dxa"/>
            <w:gridSpan w:val="4"/>
          </w:tcPr>
          <w:p>
            <w:pPr>
              <w:pStyle w:val="ConsPlusNormal"/>
              <w:jc w:val="center"/>
            </w:pPr>
            <w:r>
              <w:t>Для потребителей в случае отсутствия дифференциации тарифов по схеме подключения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438" w:type="dxa"/>
            <w:vMerge w:val="restart"/>
          </w:tcPr>
          <w:p>
            <w:pPr>
              <w:pStyle w:val="ConsPlusNormal"/>
              <w:jc w:val="center"/>
            </w:pPr>
            <w:r>
              <w:t>одноставочный, руб./Гкал</w:t>
            </w:r>
          </w:p>
        </w:tc>
        <w:tc>
          <w:tcPr>
            <w:tcW w:w="3061" w:type="dxa"/>
          </w:tcPr>
          <w:p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308,00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2438" w:type="dxa"/>
            <w:vMerge/>
          </w:tcPr>
          <w:p/>
        </w:tc>
        <w:tc>
          <w:tcPr>
            <w:tcW w:w="3061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308,00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2438" w:type="dxa"/>
            <w:vMerge/>
          </w:tcPr>
          <w:p/>
        </w:tc>
        <w:tc>
          <w:tcPr>
            <w:tcW w:w="3061" w:type="dxa"/>
          </w:tcPr>
          <w:p>
            <w:pPr>
              <w:pStyle w:val="ConsPlusNormal"/>
              <w:jc w:val="center"/>
            </w:pPr>
            <w:r>
              <w:t>1 полугодие 2017 года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308,00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2438" w:type="dxa"/>
            <w:vMerge/>
          </w:tcPr>
          <w:p/>
        </w:tc>
        <w:tc>
          <w:tcPr>
            <w:tcW w:w="3061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350,20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2438" w:type="dxa"/>
            <w:vMerge/>
          </w:tcPr>
          <w:p/>
        </w:tc>
        <w:tc>
          <w:tcPr>
            <w:tcW w:w="3061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336,18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2438" w:type="dxa"/>
            <w:vMerge/>
          </w:tcPr>
          <w:p/>
        </w:tc>
        <w:tc>
          <w:tcPr>
            <w:tcW w:w="3061" w:type="dxa"/>
          </w:tcPr>
          <w:p>
            <w:pPr>
              <w:pStyle w:val="ConsPlusNormal"/>
              <w:jc w:val="center"/>
            </w:pPr>
            <w:r>
              <w:t>2 полугодие 2018 года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336,18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</w:pPr>
          </w:p>
        </w:tc>
        <w:tc>
          <w:tcPr>
            <w:tcW w:w="2438" w:type="dxa"/>
          </w:tcPr>
          <w:p>
            <w:pPr>
              <w:pStyle w:val="ConsPlusNormal"/>
              <w:jc w:val="center"/>
            </w:pPr>
            <w:r>
              <w:t>двухставочный</w:t>
            </w:r>
          </w:p>
        </w:tc>
        <w:tc>
          <w:tcPr>
            <w:tcW w:w="3061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X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</w:pPr>
          </w:p>
        </w:tc>
        <w:tc>
          <w:tcPr>
            <w:tcW w:w="2438" w:type="dxa"/>
            <w:vMerge w:val="restart"/>
          </w:tcPr>
          <w:p>
            <w:pPr>
              <w:pStyle w:val="ConsPlusNormal"/>
              <w:jc w:val="center"/>
            </w:pPr>
            <w:r>
              <w:t>ставка за тепловую энергию, руб./Гкал</w:t>
            </w:r>
          </w:p>
        </w:tc>
        <w:tc>
          <w:tcPr>
            <w:tcW w:w="3061" w:type="dxa"/>
          </w:tcPr>
          <w:p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</w:pPr>
          </w:p>
        </w:tc>
        <w:tc>
          <w:tcPr>
            <w:tcW w:w="2438" w:type="dxa"/>
            <w:vMerge/>
          </w:tcPr>
          <w:p/>
        </w:tc>
        <w:tc>
          <w:tcPr>
            <w:tcW w:w="3061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</w:pPr>
          </w:p>
        </w:tc>
        <w:tc>
          <w:tcPr>
            <w:tcW w:w="2438" w:type="dxa"/>
            <w:vMerge/>
          </w:tcPr>
          <w:p/>
        </w:tc>
        <w:tc>
          <w:tcPr>
            <w:tcW w:w="3061" w:type="dxa"/>
          </w:tcPr>
          <w:p>
            <w:pPr>
              <w:pStyle w:val="ConsPlusNormal"/>
              <w:jc w:val="center"/>
            </w:pPr>
            <w:r>
              <w:t>1 полугодие 2017 года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</w:pPr>
          </w:p>
        </w:tc>
        <w:tc>
          <w:tcPr>
            <w:tcW w:w="2438" w:type="dxa"/>
            <w:vMerge/>
          </w:tcPr>
          <w:p/>
        </w:tc>
        <w:tc>
          <w:tcPr>
            <w:tcW w:w="3061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</w:pPr>
          </w:p>
        </w:tc>
        <w:tc>
          <w:tcPr>
            <w:tcW w:w="2438" w:type="dxa"/>
            <w:vMerge/>
          </w:tcPr>
          <w:p/>
        </w:tc>
        <w:tc>
          <w:tcPr>
            <w:tcW w:w="3061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</w:pPr>
          </w:p>
        </w:tc>
        <w:tc>
          <w:tcPr>
            <w:tcW w:w="2438" w:type="dxa"/>
            <w:vMerge/>
          </w:tcPr>
          <w:p/>
        </w:tc>
        <w:tc>
          <w:tcPr>
            <w:tcW w:w="3061" w:type="dxa"/>
          </w:tcPr>
          <w:p>
            <w:pPr>
              <w:pStyle w:val="ConsPlusNormal"/>
              <w:jc w:val="center"/>
            </w:pPr>
            <w:r>
              <w:t>2 полугодие 2018 года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</w:pPr>
          </w:p>
        </w:tc>
        <w:tc>
          <w:tcPr>
            <w:tcW w:w="2438" w:type="dxa"/>
            <w:vMerge w:val="restart"/>
          </w:tcPr>
          <w:p>
            <w:pPr>
              <w:pStyle w:val="ConsPlusNormal"/>
              <w:jc w:val="center"/>
            </w:pPr>
            <w:r>
              <w:t>ставка за содержание тепловой мощности, тыс. руб./Гкал/</w:t>
            </w:r>
            <w:proofErr w:type="gramStart"/>
            <w:r>
              <w:t>ч</w:t>
            </w:r>
            <w:proofErr w:type="gramEnd"/>
            <w:r>
              <w:t xml:space="preserve"> в мес.</w:t>
            </w:r>
          </w:p>
        </w:tc>
        <w:tc>
          <w:tcPr>
            <w:tcW w:w="3061" w:type="dxa"/>
          </w:tcPr>
          <w:p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</w:pPr>
          </w:p>
        </w:tc>
        <w:tc>
          <w:tcPr>
            <w:tcW w:w="2438" w:type="dxa"/>
            <w:vMerge/>
          </w:tcPr>
          <w:p/>
        </w:tc>
        <w:tc>
          <w:tcPr>
            <w:tcW w:w="3061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</w:pPr>
          </w:p>
        </w:tc>
        <w:tc>
          <w:tcPr>
            <w:tcW w:w="2438" w:type="dxa"/>
            <w:vMerge/>
          </w:tcPr>
          <w:p/>
        </w:tc>
        <w:tc>
          <w:tcPr>
            <w:tcW w:w="3061" w:type="dxa"/>
          </w:tcPr>
          <w:p>
            <w:pPr>
              <w:pStyle w:val="ConsPlusNormal"/>
              <w:jc w:val="center"/>
            </w:pPr>
            <w:r>
              <w:t>1 полугодие 2017 года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</w:pPr>
          </w:p>
        </w:tc>
        <w:tc>
          <w:tcPr>
            <w:tcW w:w="2438" w:type="dxa"/>
            <w:vMerge/>
          </w:tcPr>
          <w:p/>
        </w:tc>
        <w:tc>
          <w:tcPr>
            <w:tcW w:w="3061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</w:pPr>
          </w:p>
        </w:tc>
        <w:tc>
          <w:tcPr>
            <w:tcW w:w="2438" w:type="dxa"/>
            <w:vMerge/>
          </w:tcPr>
          <w:p/>
        </w:tc>
        <w:tc>
          <w:tcPr>
            <w:tcW w:w="3061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737" w:type="dxa"/>
          </w:tcPr>
          <w:p>
            <w:pPr>
              <w:pStyle w:val="ConsPlusNormal"/>
            </w:pPr>
          </w:p>
        </w:tc>
        <w:tc>
          <w:tcPr>
            <w:tcW w:w="2438" w:type="dxa"/>
            <w:vMerge/>
          </w:tcPr>
          <w:p/>
        </w:tc>
        <w:tc>
          <w:tcPr>
            <w:tcW w:w="3061" w:type="dxa"/>
          </w:tcPr>
          <w:p>
            <w:pPr>
              <w:pStyle w:val="ConsPlusNormal"/>
              <w:jc w:val="center"/>
            </w:pPr>
            <w:r>
              <w:t>2 полугодие 2018 года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</w:tbl>
    <w:p>
      <w:pPr>
        <w:pStyle w:val="ConsPlusNormal"/>
        <w:jc w:val="both"/>
      </w:pPr>
    </w:p>
    <w:p>
      <w:pPr>
        <w:pStyle w:val="ConsPlusNormal"/>
        <w:ind w:firstLine="540"/>
        <w:jc w:val="both"/>
      </w:pPr>
      <w:r>
        <w:t>Примечания:</w:t>
      </w:r>
    </w:p>
    <w:p>
      <w:pPr>
        <w:pStyle w:val="ConsPlusNormal"/>
        <w:ind w:firstLine="540"/>
        <w:jc w:val="both"/>
      </w:pPr>
      <w:r>
        <w:t>1. В тариф не включен НДС.</w:t>
      </w:r>
    </w:p>
    <w:p>
      <w:pPr>
        <w:pStyle w:val="ConsPlusNormal"/>
        <w:ind w:firstLine="540"/>
        <w:jc w:val="both"/>
      </w:pPr>
      <w:r>
        <w:t>2. 1 полугодие: с 1 января по 30 июня; 2 полугодие: с 1 июля по 31 декабря.</w:t>
      </w: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right"/>
      </w:pPr>
      <w:r>
        <w:t>ПРИЛОЖЕНИЕ 6</w:t>
      </w:r>
    </w:p>
    <w:p>
      <w:pPr>
        <w:pStyle w:val="ConsPlusNormal"/>
        <w:jc w:val="right"/>
      </w:pPr>
      <w:r>
        <w:t>к распоряжению</w:t>
      </w:r>
    </w:p>
    <w:p>
      <w:pPr>
        <w:pStyle w:val="ConsPlusNormal"/>
        <w:jc w:val="right"/>
      </w:pPr>
      <w:r>
        <w:t>Комитета по тарифам</w:t>
      </w:r>
    </w:p>
    <w:p>
      <w:pPr>
        <w:pStyle w:val="ConsPlusNormal"/>
        <w:jc w:val="right"/>
      </w:pPr>
      <w:r>
        <w:t>Санкт-Петербурга</w:t>
      </w:r>
    </w:p>
    <w:p>
      <w:pPr>
        <w:pStyle w:val="ConsPlusNormal"/>
        <w:jc w:val="right"/>
      </w:pPr>
      <w:r>
        <w:t>от 27.11.2015 N 363-р</w:t>
      </w:r>
    </w:p>
    <w:p>
      <w:pPr>
        <w:pStyle w:val="ConsPlusNormal"/>
        <w:jc w:val="both"/>
      </w:pPr>
    </w:p>
    <w:p>
      <w:pPr>
        <w:pStyle w:val="ConsPlusTitle"/>
        <w:jc w:val="center"/>
      </w:pPr>
      <w:bookmarkStart w:id="5" w:name="P1140"/>
      <w:bookmarkEnd w:id="5"/>
      <w:r>
        <w:t>ТАРИФЫ</w:t>
      </w:r>
    </w:p>
    <w:p>
      <w:pPr>
        <w:pStyle w:val="ConsPlusTitle"/>
        <w:jc w:val="center"/>
      </w:pPr>
      <w:r>
        <w:t>НА ГОРЯЧУЮ ВОДУ (ГОРЯЧЕЕ ВОДОСНАБЖЕНИЕ), ПОСТАВЛЯЕМУЮ</w:t>
      </w:r>
    </w:p>
    <w:p>
      <w:pPr>
        <w:pStyle w:val="ConsPlusTitle"/>
        <w:jc w:val="center"/>
      </w:pPr>
      <w:r>
        <w:t>ГОСУДАРСТВЕННЫМ УНИТАРНЫМ ПРЕДПРИЯТИЕМ</w:t>
      </w:r>
    </w:p>
    <w:p>
      <w:pPr>
        <w:pStyle w:val="ConsPlusTitle"/>
        <w:jc w:val="center"/>
      </w:pPr>
      <w:r>
        <w:t>"ТОПЛИВНО-ЭНЕРГЕТИЧЕСКИЙ КОМПЛЕКС САНКТ-ПЕТЕРБУРГА"</w:t>
      </w:r>
    </w:p>
    <w:p>
      <w:pPr>
        <w:pStyle w:val="ConsPlusTitle"/>
        <w:jc w:val="center"/>
      </w:pPr>
      <w:r>
        <w:t>В ОТКРЫТЫХ СИСТЕМАХ ТЕПЛОСНАБЖЕНИЯ ПОТРЕБИТЕЛЯМ,</w:t>
      </w:r>
    </w:p>
    <w:p>
      <w:pPr>
        <w:pStyle w:val="ConsPlusTitle"/>
        <w:jc w:val="center"/>
      </w:pPr>
      <w:proofErr w:type="gramStart"/>
      <w:r>
        <w:t>РАСПОЛОЖЕННЫМ</w:t>
      </w:r>
      <w:proofErr w:type="gramEnd"/>
      <w:r>
        <w:t xml:space="preserve"> НА ТЕРРИТОРИИ САНКТ-ПЕТЕРБУРГА,</w:t>
      </w:r>
    </w:p>
    <w:p>
      <w:pPr>
        <w:pStyle w:val="ConsPlusTitle"/>
        <w:jc w:val="center"/>
      </w:pPr>
      <w:r>
        <w:t>НА 2016-2018 ГОДЫ</w:t>
      </w:r>
    </w:p>
    <w:p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644"/>
        <w:gridCol w:w="1417"/>
        <w:gridCol w:w="1191"/>
        <w:gridCol w:w="1020"/>
        <w:gridCol w:w="1134"/>
        <w:gridCol w:w="1587"/>
        <w:gridCol w:w="1134"/>
      </w:tblGrid>
      <w:tr>
        <w:tc>
          <w:tcPr>
            <w:tcW w:w="510" w:type="dxa"/>
            <w:vMerge w:val="restart"/>
          </w:tcPr>
          <w:p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644" w:type="dxa"/>
            <w:vMerge w:val="restart"/>
          </w:tcPr>
          <w:p>
            <w:pPr>
              <w:pStyle w:val="ConsPlusNormal"/>
              <w:jc w:val="center"/>
            </w:pPr>
            <w:r>
              <w:t>Наименование потребителей</w:t>
            </w:r>
          </w:p>
        </w:tc>
        <w:tc>
          <w:tcPr>
            <w:tcW w:w="1417" w:type="dxa"/>
            <w:vMerge w:val="restart"/>
          </w:tcPr>
          <w:p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191" w:type="dxa"/>
            <w:vMerge w:val="restart"/>
          </w:tcPr>
          <w:p>
            <w:pPr>
              <w:pStyle w:val="ConsPlusNormal"/>
              <w:jc w:val="center"/>
            </w:pPr>
            <w:r>
              <w:t xml:space="preserve">Средневзвешенный тариф на тепловую энергию </w:t>
            </w:r>
            <w:hyperlink w:anchor="P1236" w:history="1">
              <w:r>
                <w:rPr>
                  <w:color w:val="0000FF"/>
                </w:rPr>
                <w:t>&lt;*&gt;</w:t>
              </w:r>
            </w:hyperlink>
            <w:r>
              <w:t>, руб./Гкал</w:t>
            </w:r>
          </w:p>
        </w:tc>
        <w:tc>
          <w:tcPr>
            <w:tcW w:w="1020" w:type="dxa"/>
            <w:vMerge w:val="restart"/>
          </w:tcPr>
          <w:p>
            <w:pPr>
              <w:pStyle w:val="ConsPlusNormal"/>
              <w:jc w:val="center"/>
            </w:pPr>
            <w:r>
              <w:t>Компонент на теплоноситель, руб./м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3855" w:type="dxa"/>
            <w:gridSpan w:val="3"/>
          </w:tcPr>
          <w:p>
            <w:pPr>
              <w:pStyle w:val="ConsPlusNormal"/>
              <w:jc w:val="center"/>
            </w:pPr>
            <w:r>
              <w:t>Компонент на тепловую энергию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1644" w:type="dxa"/>
            <w:vMerge/>
          </w:tcPr>
          <w:p/>
        </w:tc>
        <w:tc>
          <w:tcPr>
            <w:tcW w:w="1417" w:type="dxa"/>
            <w:vMerge/>
          </w:tcPr>
          <w:p/>
        </w:tc>
        <w:tc>
          <w:tcPr>
            <w:tcW w:w="1191" w:type="dxa"/>
            <w:vMerge/>
          </w:tcPr>
          <w:p/>
        </w:tc>
        <w:tc>
          <w:tcPr>
            <w:tcW w:w="1020" w:type="dxa"/>
            <w:vMerge/>
          </w:tcPr>
          <w:p/>
        </w:tc>
        <w:tc>
          <w:tcPr>
            <w:tcW w:w="1134" w:type="dxa"/>
            <w:vMerge w:val="restart"/>
          </w:tcPr>
          <w:p>
            <w:pPr>
              <w:pStyle w:val="ConsPlusNormal"/>
              <w:jc w:val="center"/>
            </w:pPr>
            <w:r>
              <w:t>Одноставочный, руб./Гкал</w:t>
            </w:r>
          </w:p>
        </w:tc>
        <w:tc>
          <w:tcPr>
            <w:tcW w:w="2721" w:type="dxa"/>
            <w:gridSpan w:val="2"/>
          </w:tcPr>
          <w:p>
            <w:pPr>
              <w:pStyle w:val="ConsPlusNormal"/>
              <w:jc w:val="center"/>
            </w:pPr>
            <w:r>
              <w:t>Двухставочный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1644" w:type="dxa"/>
            <w:vMerge/>
          </w:tcPr>
          <w:p/>
        </w:tc>
        <w:tc>
          <w:tcPr>
            <w:tcW w:w="1417" w:type="dxa"/>
            <w:vMerge/>
          </w:tcPr>
          <w:p/>
        </w:tc>
        <w:tc>
          <w:tcPr>
            <w:tcW w:w="1191" w:type="dxa"/>
            <w:vMerge/>
          </w:tcPr>
          <w:p/>
        </w:tc>
        <w:tc>
          <w:tcPr>
            <w:tcW w:w="1020" w:type="dxa"/>
            <w:vMerge/>
          </w:tcPr>
          <w:p/>
        </w:tc>
        <w:tc>
          <w:tcPr>
            <w:tcW w:w="1134" w:type="dxa"/>
            <w:vMerge/>
          </w:tcPr>
          <w:p/>
        </w:tc>
        <w:tc>
          <w:tcPr>
            <w:tcW w:w="1587" w:type="dxa"/>
          </w:tcPr>
          <w:p>
            <w:pPr>
              <w:pStyle w:val="ConsPlusNormal"/>
              <w:jc w:val="center"/>
            </w:pPr>
            <w:r>
              <w:t>Ставка за мощность, тыс. руб./Гкал/час в мес.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Ставка за тепловую энергию, руб./Гкал</w:t>
            </w:r>
          </w:p>
        </w:tc>
      </w:tr>
      <w:tr>
        <w:tc>
          <w:tcPr>
            <w:tcW w:w="510" w:type="dxa"/>
            <w:vMerge w:val="restart"/>
          </w:tcPr>
          <w:p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1644" w:type="dxa"/>
            <w:vMerge w:val="restart"/>
          </w:tcPr>
          <w:p>
            <w:pPr>
              <w:pStyle w:val="ConsPlusNormal"/>
              <w:jc w:val="center"/>
            </w:pPr>
            <w:r>
              <w:t>Прочие потребители</w:t>
            </w:r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25,83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1664,61</w:t>
            </w:r>
          </w:p>
        </w:tc>
        <w:tc>
          <w:tcPr>
            <w:tcW w:w="158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164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30,45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1909,59</w:t>
            </w:r>
          </w:p>
        </w:tc>
        <w:tc>
          <w:tcPr>
            <w:tcW w:w="158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164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2017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30,45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1842,14</w:t>
            </w:r>
          </w:p>
        </w:tc>
        <w:tc>
          <w:tcPr>
            <w:tcW w:w="158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164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31,99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1842,14</w:t>
            </w:r>
          </w:p>
        </w:tc>
        <w:tc>
          <w:tcPr>
            <w:tcW w:w="158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164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31,99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1842,14</w:t>
            </w:r>
          </w:p>
        </w:tc>
        <w:tc>
          <w:tcPr>
            <w:tcW w:w="158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164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2018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37,92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2005,82</w:t>
            </w:r>
          </w:p>
        </w:tc>
        <w:tc>
          <w:tcPr>
            <w:tcW w:w="158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 w:val="restart"/>
          </w:tcPr>
          <w:p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644" w:type="dxa"/>
            <w:vMerge w:val="restart"/>
          </w:tcPr>
          <w:p>
            <w:pPr>
              <w:pStyle w:val="ConsPlusNormal"/>
              <w:jc w:val="center"/>
            </w:pPr>
            <w:r>
              <w:t xml:space="preserve">Население (тарифы указаны с учетом НДС) </w:t>
            </w:r>
            <w:hyperlink w:anchor="P123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2016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2077,92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164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2016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2392,44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164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2017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2285,04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164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2017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2326,75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164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1 полугодие 2018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2326,75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510" w:type="dxa"/>
            <w:vMerge/>
          </w:tcPr>
          <w:p/>
        </w:tc>
        <w:tc>
          <w:tcPr>
            <w:tcW w:w="1644" w:type="dxa"/>
            <w:vMerge/>
          </w:tcPr>
          <w:p/>
        </w:tc>
        <w:tc>
          <w:tcPr>
            <w:tcW w:w="1417" w:type="dxa"/>
          </w:tcPr>
          <w:p>
            <w:pPr>
              <w:pStyle w:val="ConsPlusNormal"/>
              <w:jc w:val="center"/>
            </w:pPr>
            <w:r>
              <w:t>2 полугодие 2018 года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2535,21</w:t>
            </w:r>
          </w:p>
        </w:tc>
        <w:tc>
          <w:tcPr>
            <w:tcW w:w="1020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</w:tbl>
    <w:p>
      <w:pPr>
        <w:pStyle w:val="ConsPlusNormal"/>
        <w:jc w:val="both"/>
      </w:pPr>
    </w:p>
    <w:p>
      <w:pPr>
        <w:pStyle w:val="ConsPlusNormal"/>
        <w:ind w:firstLine="540"/>
        <w:jc w:val="both"/>
      </w:pPr>
      <w:r>
        <w:lastRenderedPageBreak/>
        <w:t>Примечания:</w:t>
      </w:r>
    </w:p>
    <w:p>
      <w:pPr>
        <w:pStyle w:val="ConsPlusNormal"/>
        <w:ind w:firstLine="540"/>
        <w:jc w:val="both"/>
      </w:pPr>
      <w:bookmarkStart w:id="6" w:name="P1236"/>
      <w:bookmarkEnd w:id="6"/>
      <w:r>
        <w:t>&lt;*&gt; Тарифы с учетом стоимости теплоносителя.</w:t>
      </w:r>
    </w:p>
    <w:p>
      <w:pPr>
        <w:pStyle w:val="ConsPlusNormal"/>
        <w:ind w:firstLine="540"/>
        <w:jc w:val="both"/>
      </w:pPr>
      <w:bookmarkStart w:id="7" w:name="P1237"/>
      <w:bookmarkEnd w:id="7"/>
      <w:r>
        <w:t xml:space="preserve">1. Выделяется в целях реализации </w:t>
      </w:r>
      <w:hyperlink r:id="rId12" w:history="1">
        <w:r>
          <w:rPr>
            <w:color w:val="0000FF"/>
          </w:rPr>
          <w:t>пункта 6 статьи 168</w:t>
        </w:r>
      </w:hyperlink>
      <w:r>
        <w:t xml:space="preserve"> Налогового кодекса Российской Федерации (часть вторая).</w:t>
      </w:r>
    </w:p>
    <w:p>
      <w:pPr>
        <w:pStyle w:val="ConsPlusNormal"/>
        <w:ind w:firstLine="540"/>
        <w:jc w:val="both"/>
      </w:pPr>
      <w:r>
        <w:t>2. В тарифы (за исключением тарифов для населения) не включен НДС.</w:t>
      </w:r>
    </w:p>
    <w:p>
      <w:pPr>
        <w:pStyle w:val="ConsPlusNormal"/>
        <w:ind w:firstLine="540"/>
        <w:jc w:val="both"/>
      </w:pPr>
      <w:r>
        <w:t>3. 1 полугодие: с 1 января по 30 июня; 2 полугодие: с 1 июля по 31 декабря.</w:t>
      </w:r>
    </w:p>
    <w:p>
      <w:pPr>
        <w:pStyle w:val="ConsPlusNormal"/>
        <w:ind w:firstLine="540"/>
        <w:jc w:val="both"/>
      </w:pPr>
      <w:r>
        <w:t xml:space="preserve">4. </w:t>
      </w:r>
      <w:hyperlink w:anchor="P939" w:history="1">
        <w:r>
          <w:rPr>
            <w:color w:val="0000FF"/>
          </w:rPr>
          <w:t>Тарифы</w:t>
        </w:r>
      </w:hyperlink>
      <w:r>
        <w:t xml:space="preserve"> на теплоноситель установлены Приложением 4 к настоящему распоряжению.</w:t>
      </w: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right"/>
      </w:pPr>
      <w:r>
        <w:t>ПРИЛОЖЕНИЕ 7</w:t>
      </w:r>
    </w:p>
    <w:p>
      <w:pPr>
        <w:pStyle w:val="ConsPlusNormal"/>
        <w:jc w:val="right"/>
      </w:pPr>
      <w:r>
        <w:t>к распоряжению</w:t>
      </w:r>
    </w:p>
    <w:p>
      <w:pPr>
        <w:pStyle w:val="ConsPlusNormal"/>
        <w:jc w:val="right"/>
      </w:pPr>
      <w:r>
        <w:t>Комитета по тарифам</w:t>
      </w:r>
    </w:p>
    <w:p>
      <w:pPr>
        <w:pStyle w:val="ConsPlusNormal"/>
        <w:jc w:val="right"/>
      </w:pPr>
      <w:r>
        <w:t>Санкт-Петербурга</w:t>
      </w:r>
    </w:p>
    <w:p>
      <w:pPr>
        <w:pStyle w:val="ConsPlusNormal"/>
        <w:jc w:val="right"/>
      </w:pPr>
      <w:r>
        <w:t>от 27.11.2015 N 363-р</w:t>
      </w:r>
    </w:p>
    <w:p>
      <w:pPr>
        <w:pStyle w:val="ConsPlusNormal"/>
        <w:jc w:val="both"/>
      </w:pPr>
    </w:p>
    <w:p>
      <w:pPr>
        <w:pStyle w:val="ConsPlusTitle"/>
        <w:jc w:val="center"/>
      </w:pPr>
      <w:bookmarkStart w:id="8" w:name="P1252"/>
      <w:bookmarkEnd w:id="8"/>
      <w:r>
        <w:t>ДОЛГОСРОЧНЫЕ ПАРАМЕТРЫ</w:t>
      </w:r>
    </w:p>
    <w:p>
      <w:pPr>
        <w:pStyle w:val="ConsPlusTitle"/>
        <w:jc w:val="center"/>
      </w:pPr>
      <w:r>
        <w:t xml:space="preserve">РЕГУЛИРОВАНИЯ ТАРИФОВ, УСТАНАВЛИВАЕМЫЕ НА </w:t>
      </w:r>
      <w:proofErr w:type="gramStart"/>
      <w:r>
        <w:t>ДОЛГОСРОЧНЫЙ</w:t>
      </w:r>
      <w:proofErr w:type="gramEnd"/>
    </w:p>
    <w:p>
      <w:pPr>
        <w:pStyle w:val="ConsPlusTitle"/>
        <w:jc w:val="center"/>
      </w:pPr>
      <w:r>
        <w:t>ПЕРИОД РЕГУЛИРОВАНИЯ ДЛЯ ФОРМИРОВАНИЯ ТАРИФОВ В СФЕРЕ</w:t>
      </w:r>
    </w:p>
    <w:p>
      <w:pPr>
        <w:pStyle w:val="ConsPlusTitle"/>
        <w:jc w:val="center"/>
      </w:pPr>
      <w:r>
        <w:t>ТЕПЛОСНАБЖЕНИЯ ГОСУДАРСТВЕННОГО УНИТАРНОГО ПРЕДПРИЯТИЯ</w:t>
      </w:r>
    </w:p>
    <w:p>
      <w:pPr>
        <w:pStyle w:val="ConsPlusTitle"/>
        <w:jc w:val="center"/>
      </w:pPr>
      <w:r>
        <w:t>"ТОПЛИВНО-ЭНЕРГЕТИЧЕСКИЙ КОМПЛЕКС САНКТ-ПЕТЕРБУРГА"</w:t>
      </w:r>
    </w:p>
    <w:p>
      <w:pPr>
        <w:pStyle w:val="ConsPlusTitle"/>
        <w:jc w:val="center"/>
      </w:pPr>
      <w:r>
        <w:t>НА ТЕРРИТОРИИ САНКТ-ПЕТЕРБУРГА НА 2016-2018 ГОДЫ</w:t>
      </w:r>
    </w:p>
    <w:p>
      <w:pPr>
        <w:pStyle w:val="ConsPlusTitle"/>
        <w:jc w:val="center"/>
      </w:pPr>
      <w:r>
        <w:t>С ИСПОЛЬЗОВАНИЕМ МЕТОДА ИНДЕКСАЦИИ УСТАНОВЛЕННЫХ ТАРИФОВ</w:t>
      </w:r>
    </w:p>
    <w:p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644"/>
        <w:gridCol w:w="794"/>
        <w:gridCol w:w="1757"/>
        <w:gridCol w:w="1247"/>
        <w:gridCol w:w="1191"/>
        <w:gridCol w:w="2056"/>
        <w:gridCol w:w="1928"/>
        <w:gridCol w:w="1531"/>
        <w:gridCol w:w="1871"/>
        <w:gridCol w:w="1587"/>
        <w:gridCol w:w="964"/>
        <w:gridCol w:w="737"/>
      </w:tblGrid>
      <w:tr>
        <w:tc>
          <w:tcPr>
            <w:tcW w:w="454" w:type="dxa"/>
            <w:vMerge w:val="restart"/>
          </w:tcPr>
          <w:p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644" w:type="dxa"/>
            <w:vMerge w:val="restart"/>
          </w:tcPr>
          <w:p>
            <w:pPr>
              <w:pStyle w:val="ConsPlusNormal"/>
              <w:jc w:val="center"/>
            </w:pPr>
            <w:r>
              <w:t>Наименование регулируемого вида деятельности организации</w:t>
            </w:r>
          </w:p>
        </w:tc>
        <w:tc>
          <w:tcPr>
            <w:tcW w:w="794" w:type="dxa"/>
            <w:vMerge w:val="restart"/>
          </w:tcPr>
          <w:p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757" w:type="dxa"/>
            <w:vMerge w:val="restart"/>
          </w:tcPr>
          <w:p>
            <w:pPr>
              <w:pStyle w:val="ConsPlusNormal"/>
              <w:jc w:val="center"/>
            </w:pPr>
            <w:r>
              <w:t>Базовый уровень операционных расходов</w:t>
            </w:r>
          </w:p>
        </w:tc>
        <w:tc>
          <w:tcPr>
            <w:tcW w:w="1247" w:type="dxa"/>
            <w:vMerge w:val="restart"/>
          </w:tcPr>
          <w:p>
            <w:pPr>
              <w:pStyle w:val="ConsPlusNormal"/>
              <w:jc w:val="center"/>
            </w:pPr>
            <w:r>
              <w:t>Индекс эффективности операционных расходов</w:t>
            </w:r>
          </w:p>
        </w:tc>
        <w:tc>
          <w:tcPr>
            <w:tcW w:w="1191" w:type="dxa"/>
            <w:vMerge w:val="restart"/>
          </w:tcPr>
          <w:p>
            <w:pPr>
              <w:pStyle w:val="ConsPlusNormal"/>
              <w:jc w:val="center"/>
            </w:pPr>
            <w:r>
              <w:t>Нормативный уровень прибыли</w:t>
            </w:r>
          </w:p>
        </w:tc>
        <w:tc>
          <w:tcPr>
            <w:tcW w:w="3984" w:type="dxa"/>
            <w:gridSpan w:val="2"/>
          </w:tcPr>
          <w:p>
            <w:pPr>
              <w:pStyle w:val="ConsPlusNormal"/>
              <w:jc w:val="center"/>
            </w:pPr>
            <w:r>
              <w:t>Уровень надежности теплоснабжения</w:t>
            </w:r>
          </w:p>
        </w:tc>
        <w:tc>
          <w:tcPr>
            <w:tcW w:w="4989" w:type="dxa"/>
            <w:gridSpan w:val="3"/>
          </w:tcPr>
          <w:p>
            <w:pPr>
              <w:pStyle w:val="ConsPlusNormal"/>
              <w:jc w:val="center"/>
            </w:pPr>
            <w:r>
              <w:t>Показатели энергосбережения и энергетической эффективности</w:t>
            </w:r>
          </w:p>
        </w:tc>
        <w:tc>
          <w:tcPr>
            <w:tcW w:w="964" w:type="dxa"/>
            <w:vMerge w:val="restart"/>
          </w:tcPr>
          <w:p>
            <w:pPr>
              <w:pStyle w:val="ConsPlusNormal"/>
              <w:jc w:val="center"/>
            </w:pPr>
            <w:r>
              <w:t xml:space="preserve">Реализация программ в области энергосбережения и </w:t>
            </w:r>
            <w:r>
              <w:lastRenderedPageBreak/>
              <w:t>повышения энергетической эффективности</w:t>
            </w:r>
          </w:p>
        </w:tc>
        <w:tc>
          <w:tcPr>
            <w:tcW w:w="737" w:type="dxa"/>
            <w:vMerge w:val="restart"/>
          </w:tcPr>
          <w:p>
            <w:pPr>
              <w:pStyle w:val="ConsPlusNormal"/>
              <w:jc w:val="center"/>
            </w:pPr>
            <w:r>
              <w:lastRenderedPageBreak/>
              <w:t>Динамика изменения расходов на топли</w:t>
            </w:r>
            <w:r>
              <w:lastRenderedPageBreak/>
              <w:t>во</w:t>
            </w:r>
          </w:p>
        </w:tc>
      </w:tr>
      <w:tr>
        <w:tc>
          <w:tcPr>
            <w:tcW w:w="454" w:type="dxa"/>
            <w:vMerge/>
          </w:tcPr>
          <w:p/>
        </w:tc>
        <w:tc>
          <w:tcPr>
            <w:tcW w:w="1644" w:type="dxa"/>
            <w:vMerge/>
          </w:tcPr>
          <w:p/>
        </w:tc>
        <w:tc>
          <w:tcPr>
            <w:tcW w:w="794" w:type="dxa"/>
            <w:vMerge/>
          </w:tcPr>
          <w:p/>
        </w:tc>
        <w:tc>
          <w:tcPr>
            <w:tcW w:w="1757" w:type="dxa"/>
            <w:vMerge/>
          </w:tcPr>
          <w:p/>
        </w:tc>
        <w:tc>
          <w:tcPr>
            <w:tcW w:w="1247" w:type="dxa"/>
            <w:vMerge/>
          </w:tcPr>
          <w:p/>
        </w:tc>
        <w:tc>
          <w:tcPr>
            <w:tcW w:w="1191" w:type="dxa"/>
            <w:vMerge/>
          </w:tcPr>
          <w:p/>
        </w:tc>
        <w:tc>
          <w:tcPr>
            <w:tcW w:w="2056" w:type="dxa"/>
          </w:tcPr>
          <w:p>
            <w:pPr>
              <w:pStyle w:val="ConsPlusNormal"/>
              <w:jc w:val="center"/>
            </w:pPr>
            <w:r>
              <w:t xml:space="preserve">Количество прекращений подачи тепловой энергии в результате технологических </w:t>
            </w:r>
            <w:r>
              <w:lastRenderedPageBreak/>
              <w:t>нарушений на тепловых сетях на 1 км тепловых сетей в целом по теплоснабжающей организации</w:t>
            </w:r>
          </w:p>
        </w:tc>
        <w:tc>
          <w:tcPr>
            <w:tcW w:w="1928" w:type="dxa"/>
          </w:tcPr>
          <w:p>
            <w:pPr>
              <w:pStyle w:val="ConsPlusNormal"/>
              <w:jc w:val="center"/>
            </w:pPr>
            <w:r>
              <w:lastRenderedPageBreak/>
              <w:t xml:space="preserve">Количество прекращений подачи тепловой энергии в результате технологических </w:t>
            </w:r>
            <w:r>
              <w:lastRenderedPageBreak/>
              <w:t>нарушений на источниках тепловой энергии на 1 Гкал/час установленной мощности</w:t>
            </w:r>
          </w:p>
        </w:tc>
        <w:tc>
          <w:tcPr>
            <w:tcW w:w="1531" w:type="dxa"/>
          </w:tcPr>
          <w:p>
            <w:pPr>
              <w:pStyle w:val="ConsPlusNormal"/>
              <w:jc w:val="center"/>
            </w:pPr>
            <w:r>
              <w:lastRenderedPageBreak/>
              <w:t xml:space="preserve">Удельный расход условного топлива на производство единицы </w:t>
            </w:r>
            <w:r>
              <w:lastRenderedPageBreak/>
              <w:t>тепловой энергии, отпускаемой с коллекторов источников тепловой энергии</w:t>
            </w:r>
          </w:p>
        </w:tc>
        <w:tc>
          <w:tcPr>
            <w:tcW w:w="1871" w:type="dxa"/>
          </w:tcPr>
          <w:p>
            <w:pPr>
              <w:pStyle w:val="ConsPlusNormal"/>
              <w:jc w:val="center"/>
            </w:pPr>
            <w:r>
              <w:lastRenderedPageBreak/>
              <w:t xml:space="preserve">Отношение величины технологических потерь тепловой энергии, теплоносителя к </w:t>
            </w:r>
            <w:r>
              <w:lastRenderedPageBreak/>
              <w:t>материальной характеристике тепловой сети</w:t>
            </w:r>
          </w:p>
        </w:tc>
        <w:tc>
          <w:tcPr>
            <w:tcW w:w="1587" w:type="dxa"/>
          </w:tcPr>
          <w:p>
            <w:pPr>
              <w:pStyle w:val="ConsPlusNormal"/>
              <w:jc w:val="center"/>
            </w:pPr>
            <w:r>
              <w:lastRenderedPageBreak/>
              <w:t>Величина технологических потерь при передаче тепловой энергии</w:t>
            </w:r>
          </w:p>
        </w:tc>
        <w:tc>
          <w:tcPr>
            <w:tcW w:w="964" w:type="dxa"/>
            <w:vMerge/>
          </w:tcPr>
          <w:p/>
        </w:tc>
        <w:tc>
          <w:tcPr>
            <w:tcW w:w="737" w:type="dxa"/>
            <w:vMerge/>
          </w:tcPr>
          <w:p/>
        </w:tc>
      </w:tr>
      <w:tr>
        <w:tc>
          <w:tcPr>
            <w:tcW w:w="454" w:type="dxa"/>
            <w:vMerge/>
          </w:tcPr>
          <w:p/>
        </w:tc>
        <w:tc>
          <w:tcPr>
            <w:tcW w:w="1644" w:type="dxa"/>
            <w:vMerge/>
          </w:tcPr>
          <w:p/>
        </w:tc>
        <w:tc>
          <w:tcPr>
            <w:tcW w:w="794" w:type="dxa"/>
            <w:vMerge/>
          </w:tcPr>
          <w:p/>
        </w:tc>
        <w:tc>
          <w:tcPr>
            <w:tcW w:w="1757" w:type="dxa"/>
          </w:tcPr>
          <w:p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47" w:type="dxa"/>
          </w:tcPr>
          <w:p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056" w:type="dxa"/>
          </w:tcPr>
          <w:p>
            <w:pPr>
              <w:pStyle w:val="ConsPlusNormal"/>
              <w:jc w:val="center"/>
            </w:pPr>
            <w:r>
              <w:t>ед./</w:t>
            </w:r>
            <w:proofErr w:type="gramStart"/>
            <w:r>
              <w:t>км</w:t>
            </w:r>
            <w:proofErr w:type="gramEnd"/>
          </w:p>
        </w:tc>
        <w:tc>
          <w:tcPr>
            <w:tcW w:w="1928" w:type="dxa"/>
          </w:tcPr>
          <w:p>
            <w:pPr>
              <w:pStyle w:val="ConsPlusNormal"/>
              <w:jc w:val="center"/>
            </w:pPr>
            <w:r>
              <w:t>ед./(Гкал/час)</w:t>
            </w:r>
          </w:p>
        </w:tc>
        <w:tc>
          <w:tcPr>
            <w:tcW w:w="1531" w:type="dxa"/>
          </w:tcPr>
          <w:p>
            <w:pPr>
              <w:pStyle w:val="ConsPlusNormal"/>
              <w:jc w:val="center"/>
            </w:pPr>
            <w:proofErr w:type="gramStart"/>
            <w:r>
              <w:t>кг</w:t>
            </w:r>
            <w:proofErr w:type="gramEnd"/>
            <w:r>
              <w:t xml:space="preserve"> у.т./Гкал</w:t>
            </w:r>
          </w:p>
        </w:tc>
        <w:tc>
          <w:tcPr>
            <w:tcW w:w="1871" w:type="dxa"/>
          </w:tcPr>
          <w:p>
            <w:pPr>
              <w:pStyle w:val="ConsPlusNormal"/>
              <w:jc w:val="center"/>
            </w:pPr>
            <w:r>
              <w:t>Гкал/кв. м</w:t>
            </w:r>
          </w:p>
        </w:tc>
        <w:tc>
          <w:tcPr>
            <w:tcW w:w="1587" w:type="dxa"/>
          </w:tcPr>
          <w:p>
            <w:pPr>
              <w:pStyle w:val="ConsPlusNormal"/>
              <w:jc w:val="center"/>
            </w:pPr>
            <w:r>
              <w:t>Гкал</w:t>
            </w:r>
          </w:p>
        </w:tc>
        <w:tc>
          <w:tcPr>
            <w:tcW w:w="964" w:type="dxa"/>
          </w:tcPr>
          <w:p>
            <w:pPr>
              <w:pStyle w:val="ConsPlusNormal"/>
            </w:pPr>
          </w:p>
        </w:tc>
        <w:tc>
          <w:tcPr>
            <w:tcW w:w="737" w:type="dxa"/>
          </w:tcPr>
          <w:p>
            <w:pPr>
              <w:pStyle w:val="ConsPlusNormal"/>
            </w:pPr>
          </w:p>
        </w:tc>
      </w:tr>
      <w:tr>
        <w:tc>
          <w:tcPr>
            <w:tcW w:w="454" w:type="dxa"/>
          </w:tcPr>
          <w:p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</w:tcPr>
          <w:p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</w:tcPr>
          <w:p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56" w:type="dxa"/>
          </w:tcPr>
          <w:p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8" w:type="dxa"/>
          </w:tcPr>
          <w:p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31" w:type="dxa"/>
          </w:tcPr>
          <w:p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871" w:type="dxa"/>
          </w:tcPr>
          <w:p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</w:tcPr>
          <w:p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</w:tcPr>
          <w:p>
            <w:pPr>
              <w:pStyle w:val="ConsPlusNormal"/>
              <w:jc w:val="center"/>
            </w:pPr>
            <w:r>
              <w:t>13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Merge w:val="restart"/>
          </w:tcPr>
          <w:p>
            <w:pPr>
              <w:pStyle w:val="ConsPlusNormal"/>
              <w:jc w:val="center"/>
            </w:pPr>
            <w:r>
              <w:t>Поставка тепловой энергии (мощности) потребителям</w:t>
            </w:r>
          </w:p>
        </w:tc>
        <w:tc>
          <w:tcPr>
            <w:tcW w:w="794" w:type="dxa"/>
          </w:tcPr>
          <w:p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757" w:type="dxa"/>
            <w:vMerge w:val="restart"/>
            <w:vAlign w:val="center"/>
          </w:tcPr>
          <w:p>
            <w:pPr>
              <w:pStyle w:val="ConsPlusNormal"/>
              <w:jc w:val="center"/>
            </w:pPr>
            <w:r>
              <w:t>5629534,72</w:t>
            </w:r>
          </w:p>
        </w:tc>
        <w:tc>
          <w:tcPr>
            <w:tcW w:w="1247" w:type="dxa"/>
          </w:tcPr>
          <w:p>
            <w:pPr>
              <w:pStyle w:val="ConsPlusNormal"/>
              <w:jc w:val="center"/>
            </w:pPr>
            <w:r>
              <w:t>1%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0,6%</w:t>
            </w:r>
          </w:p>
        </w:tc>
        <w:tc>
          <w:tcPr>
            <w:tcW w:w="2056" w:type="dxa"/>
          </w:tcPr>
          <w:p>
            <w:pPr>
              <w:pStyle w:val="ConsPlusNormal"/>
              <w:jc w:val="center"/>
            </w:pPr>
            <w:r>
              <w:t>1,12</w:t>
            </w:r>
          </w:p>
        </w:tc>
        <w:tc>
          <w:tcPr>
            <w:tcW w:w="1928" w:type="dxa"/>
          </w:tcPr>
          <w:p>
            <w:pPr>
              <w:pStyle w:val="ConsPlusNormal"/>
              <w:jc w:val="center"/>
            </w:pPr>
            <w:r>
              <w:t>0,00129</w:t>
            </w:r>
          </w:p>
        </w:tc>
        <w:tc>
          <w:tcPr>
            <w:tcW w:w="1531" w:type="dxa"/>
          </w:tcPr>
          <w:p>
            <w:pPr>
              <w:pStyle w:val="ConsPlusNormal"/>
              <w:jc w:val="center"/>
            </w:pPr>
            <w:r>
              <w:t>165,50</w:t>
            </w:r>
          </w:p>
        </w:tc>
        <w:tc>
          <w:tcPr>
            <w:tcW w:w="1871" w:type="dxa"/>
          </w:tcPr>
          <w:p>
            <w:pPr>
              <w:pStyle w:val="ConsPlusNormal"/>
              <w:jc w:val="center"/>
            </w:pPr>
            <w:r>
              <w:t>4,58</w:t>
            </w:r>
          </w:p>
        </w:tc>
        <w:tc>
          <w:tcPr>
            <w:tcW w:w="1587" w:type="dxa"/>
          </w:tcPr>
          <w:p>
            <w:pPr>
              <w:pStyle w:val="ConsPlusNormal"/>
              <w:jc w:val="center"/>
            </w:pPr>
            <w:r>
              <w:t>1971769,75</w:t>
            </w:r>
          </w:p>
        </w:tc>
        <w:tc>
          <w:tcPr>
            <w:tcW w:w="96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454" w:type="dxa"/>
            <w:vMerge/>
          </w:tcPr>
          <w:p/>
        </w:tc>
        <w:tc>
          <w:tcPr>
            <w:tcW w:w="1644" w:type="dxa"/>
            <w:vMerge/>
          </w:tcPr>
          <w:p/>
        </w:tc>
        <w:tc>
          <w:tcPr>
            <w:tcW w:w="794" w:type="dxa"/>
          </w:tcPr>
          <w:p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757" w:type="dxa"/>
            <w:vMerge/>
          </w:tcPr>
          <w:p/>
        </w:tc>
        <w:tc>
          <w:tcPr>
            <w:tcW w:w="1247" w:type="dxa"/>
          </w:tcPr>
          <w:p>
            <w:pPr>
              <w:pStyle w:val="ConsPlusNormal"/>
              <w:jc w:val="center"/>
            </w:pPr>
            <w:r>
              <w:t>1%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0,6%</w:t>
            </w:r>
          </w:p>
        </w:tc>
        <w:tc>
          <w:tcPr>
            <w:tcW w:w="2056" w:type="dxa"/>
          </w:tcPr>
          <w:p>
            <w:pPr>
              <w:pStyle w:val="ConsPlusNormal"/>
              <w:jc w:val="center"/>
            </w:pPr>
            <w:r>
              <w:t>1,13</w:t>
            </w:r>
          </w:p>
        </w:tc>
        <w:tc>
          <w:tcPr>
            <w:tcW w:w="1928" w:type="dxa"/>
          </w:tcPr>
          <w:p>
            <w:pPr>
              <w:pStyle w:val="ConsPlusNormal"/>
              <w:jc w:val="center"/>
            </w:pPr>
            <w:r>
              <w:t>0,00129</w:t>
            </w:r>
          </w:p>
        </w:tc>
        <w:tc>
          <w:tcPr>
            <w:tcW w:w="1531" w:type="dxa"/>
          </w:tcPr>
          <w:p>
            <w:pPr>
              <w:pStyle w:val="ConsPlusNormal"/>
              <w:jc w:val="center"/>
            </w:pPr>
            <w:r>
              <w:t>165,50</w:t>
            </w:r>
          </w:p>
        </w:tc>
        <w:tc>
          <w:tcPr>
            <w:tcW w:w="1871" w:type="dxa"/>
          </w:tcPr>
          <w:p>
            <w:pPr>
              <w:pStyle w:val="ConsPlusNormal"/>
              <w:jc w:val="center"/>
            </w:pPr>
            <w:r>
              <w:t>4,58</w:t>
            </w:r>
          </w:p>
        </w:tc>
        <w:tc>
          <w:tcPr>
            <w:tcW w:w="1587" w:type="dxa"/>
          </w:tcPr>
          <w:p>
            <w:pPr>
              <w:pStyle w:val="ConsPlusNormal"/>
              <w:jc w:val="center"/>
            </w:pPr>
            <w:r>
              <w:t>1971769,75</w:t>
            </w:r>
          </w:p>
        </w:tc>
        <w:tc>
          <w:tcPr>
            <w:tcW w:w="96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  <w:tr>
        <w:tc>
          <w:tcPr>
            <w:tcW w:w="454" w:type="dxa"/>
            <w:vMerge/>
          </w:tcPr>
          <w:p/>
        </w:tc>
        <w:tc>
          <w:tcPr>
            <w:tcW w:w="1644" w:type="dxa"/>
            <w:vMerge/>
          </w:tcPr>
          <w:p/>
        </w:tc>
        <w:tc>
          <w:tcPr>
            <w:tcW w:w="794" w:type="dxa"/>
          </w:tcPr>
          <w:p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757" w:type="dxa"/>
            <w:vMerge/>
          </w:tcPr>
          <w:p/>
        </w:tc>
        <w:tc>
          <w:tcPr>
            <w:tcW w:w="1247" w:type="dxa"/>
          </w:tcPr>
          <w:p>
            <w:pPr>
              <w:pStyle w:val="ConsPlusNormal"/>
              <w:jc w:val="center"/>
            </w:pPr>
            <w:r>
              <w:t>1%</w:t>
            </w:r>
          </w:p>
        </w:tc>
        <w:tc>
          <w:tcPr>
            <w:tcW w:w="1191" w:type="dxa"/>
          </w:tcPr>
          <w:p>
            <w:pPr>
              <w:pStyle w:val="ConsPlusNormal"/>
              <w:jc w:val="center"/>
            </w:pPr>
            <w:r>
              <w:t>0,6%</w:t>
            </w:r>
          </w:p>
        </w:tc>
        <w:tc>
          <w:tcPr>
            <w:tcW w:w="2056" w:type="dxa"/>
          </w:tcPr>
          <w:p>
            <w:pPr>
              <w:pStyle w:val="ConsPlusNormal"/>
              <w:jc w:val="center"/>
            </w:pPr>
            <w:r>
              <w:t>1,13</w:t>
            </w:r>
          </w:p>
        </w:tc>
        <w:tc>
          <w:tcPr>
            <w:tcW w:w="1928" w:type="dxa"/>
          </w:tcPr>
          <w:p>
            <w:pPr>
              <w:pStyle w:val="ConsPlusNormal"/>
              <w:jc w:val="center"/>
            </w:pPr>
            <w:r>
              <w:t>0,00129</w:t>
            </w:r>
          </w:p>
        </w:tc>
        <w:tc>
          <w:tcPr>
            <w:tcW w:w="1531" w:type="dxa"/>
          </w:tcPr>
          <w:p>
            <w:pPr>
              <w:pStyle w:val="ConsPlusNormal"/>
              <w:jc w:val="center"/>
            </w:pPr>
            <w:r>
              <w:t>165,50</w:t>
            </w:r>
          </w:p>
        </w:tc>
        <w:tc>
          <w:tcPr>
            <w:tcW w:w="1871" w:type="dxa"/>
          </w:tcPr>
          <w:p>
            <w:pPr>
              <w:pStyle w:val="ConsPlusNormal"/>
              <w:jc w:val="center"/>
            </w:pPr>
            <w:r>
              <w:t>4,58</w:t>
            </w:r>
          </w:p>
        </w:tc>
        <w:tc>
          <w:tcPr>
            <w:tcW w:w="1587" w:type="dxa"/>
          </w:tcPr>
          <w:p>
            <w:pPr>
              <w:pStyle w:val="ConsPlusNormal"/>
              <w:jc w:val="center"/>
            </w:pPr>
            <w:r>
              <w:t>1971769,75</w:t>
            </w:r>
          </w:p>
        </w:tc>
        <w:tc>
          <w:tcPr>
            <w:tcW w:w="964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>
            <w:pPr>
              <w:pStyle w:val="ConsPlusNormal"/>
              <w:jc w:val="center"/>
            </w:pPr>
            <w:r>
              <w:t>-</w:t>
            </w:r>
          </w:p>
        </w:tc>
      </w:tr>
    </w:tbl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/>
    <w:sectPr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exac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line="240" w:lineRule="auto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pPr>
      <w:widowControl w:val="0"/>
      <w:autoSpaceDE w:val="0"/>
      <w:autoSpaceDN w:val="0"/>
      <w:spacing w:line="240" w:lineRule="auto"/>
      <w:ind w:firstLine="0"/>
      <w:jc w:val="left"/>
    </w:pPr>
    <w:rPr>
      <w:rFonts w:ascii="Tahoma" w:eastAsia="Times New Roman" w:hAnsi="Tahoma" w:cs="Tahoma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92DE8272D170444144537686207F8CE30C275FE62F40791564065EB7D344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D92DE8272D170444144537686207F8CE3002D5DE82540791564065EB7D344N" TargetMode="External"/><Relationship Id="rId12" Type="http://schemas.openxmlformats.org/officeDocument/2006/relationships/hyperlink" Target="consultantplus://offline/ref=3D92DE8272D170444144537686207F8CE3002F5BE52640791564065EB734E6B2A93F8C6B4FDAC11CD94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92DE8272D170444144537686207F8CE3012C5DE82140791564065EB7D344N" TargetMode="External"/><Relationship Id="rId11" Type="http://schemas.openxmlformats.org/officeDocument/2006/relationships/hyperlink" Target="consultantplus://offline/ref=3D92DE8272D170444144537686207F8CE3002F5BE52640791564065EB734E6B2A93F8C6B4FDAC11CD949N" TargetMode="External"/><Relationship Id="rId5" Type="http://schemas.openxmlformats.org/officeDocument/2006/relationships/hyperlink" Target="consultantplus://offline/ref=3D92DE8272D170444144537686207F8CE300275BE52040791564065EB7D344N" TargetMode="External"/><Relationship Id="rId10" Type="http://schemas.openxmlformats.org/officeDocument/2006/relationships/hyperlink" Target="consultantplus://offline/ref=3D92DE8272D170444144526997207F8CE30D2B58E72440791564065EB7D344N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D92DE8272D170444144526997207F8CE30E285EE02740791564065EB7D344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2474</Words>
  <Characters>14108</Characters>
  <Application>Microsoft Office Word</Application>
  <DocSecurity>0</DocSecurity>
  <Lines>117</Lines>
  <Paragraphs>33</Paragraphs>
  <ScaleCrop>false</ScaleCrop>
  <Company>Microsoft</Company>
  <LinksUpToDate>false</LinksUpToDate>
  <CharactersWithSpaces>16549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PEO5</dc:creator>
  <cp:lastModifiedBy>PEO5</cp:lastModifiedBy>
  <cp:revision>1</cp:revision>
  <dcterms:created xsi:type="dcterms:W3CDTF">2016-01-14T13:56:00Z</dcterms:created>
  <dcterms:modified xsi:type="dcterms:W3CDTF">2016-01-14T13:58:00Z</dcterms:modified>
</cp:coreProperties>
</file>